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77EE" w14:textId="77777777" w:rsidR="008F4181" w:rsidRPr="00956D03" w:rsidRDefault="008F4181" w:rsidP="008F4181">
      <w:pPr>
        <w:spacing w:line="288" w:lineRule="auto"/>
        <w:ind w:left="6372"/>
        <w:rPr>
          <w:rFonts w:ascii="Arial" w:hAnsi="Arial" w:cs="Arial"/>
          <w:sz w:val="20"/>
          <w:szCs w:val="20"/>
        </w:rPr>
      </w:pPr>
    </w:p>
    <w:p w14:paraId="676BD806" w14:textId="77777777" w:rsidR="008F4181" w:rsidRPr="00956D03" w:rsidRDefault="008F4181" w:rsidP="008F4181">
      <w:pPr>
        <w:spacing w:line="288" w:lineRule="auto"/>
        <w:ind w:left="6372"/>
        <w:rPr>
          <w:rFonts w:ascii="Arial" w:hAnsi="Arial" w:cs="Arial"/>
          <w:sz w:val="20"/>
          <w:szCs w:val="20"/>
        </w:rPr>
      </w:pPr>
    </w:p>
    <w:p w14:paraId="2F4B540B" w14:textId="77777777" w:rsidR="008F4181" w:rsidRPr="00956D03" w:rsidRDefault="008F4181" w:rsidP="008F4181">
      <w:pPr>
        <w:jc w:val="right"/>
        <w:rPr>
          <w:rFonts w:ascii="Arial" w:hAnsi="Arial" w:cs="Arial"/>
          <w:sz w:val="20"/>
          <w:szCs w:val="20"/>
        </w:rPr>
      </w:pPr>
    </w:p>
    <w:p w14:paraId="77E3F91E" w14:textId="77777777" w:rsidR="008F4181" w:rsidRPr="00A47E93" w:rsidRDefault="008F4181" w:rsidP="008F4181">
      <w:pPr>
        <w:rPr>
          <w:rFonts w:ascii="Arial" w:hAnsi="Arial" w:cs="Arial"/>
          <w:b/>
          <w:sz w:val="16"/>
          <w:szCs w:val="16"/>
        </w:rPr>
      </w:pPr>
      <w:r w:rsidRPr="00A47E93">
        <w:rPr>
          <w:rFonts w:ascii="Arial" w:hAnsi="Arial" w:cs="Arial"/>
          <w:b/>
          <w:sz w:val="16"/>
          <w:szCs w:val="16"/>
        </w:rPr>
        <w:t xml:space="preserve">Załącznik nr 1 do Zapytania ofertowego z dnia </w:t>
      </w:r>
      <w:r w:rsidRPr="00980664">
        <w:rPr>
          <w:rFonts w:ascii="Arial" w:hAnsi="Arial" w:cs="Arial"/>
          <w:b/>
          <w:sz w:val="16"/>
          <w:szCs w:val="16"/>
        </w:rPr>
        <w:t>02/09/2024</w:t>
      </w:r>
    </w:p>
    <w:p w14:paraId="7FD8ECE7" w14:textId="77777777" w:rsidR="008F4181" w:rsidRPr="00956D03" w:rsidRDefault="008F4181" w:rsidP="008F4181">
      <w:pPr>
        <w:jc w:val="center"/>
        <w:rPr>
          <w:rFonts w:ascii="Arial" w:hAnsi="Arial" w:cs="Arial"/>
          <w:b/>
          <w:sz w:val="20"/>
          <w:szCs w:val="20"/>
        </w:rPr>
      </w:pPr>
    </w:p>
    <w:p w14:paraId="4005679C" w14:textId="1BA285B1" w:rsidR="008F4181" w:rsidRPr="00956D03" w:rsidRDefault="008F4181" w:rsidP="008F4181">
      <w:pPr>
        <w:jc w:val="center"/>
        <w:rPr>
          <w:rFonts w:ascii="Arial" w:hAnsi="Arial" w:cs="Arial"/>
          <w:b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 xml:space="preserve">Ogólne warunki prowadzenia przetargu w sprawie </w:t>
      </w:r>
      <w:r w:rsidRPr="00E4384F">
        <w:rPr>
          <w:rFonts w:ascii="Arial" w:hAnsi="Arial" w:cs="Arial"/>
          <w:b/>
          <w:sz w:val="20"/>
          <w:szCs w:val="20"/>
        </w:rPr>
        <w:t>sprzedaży portfel</w:t>
      </w:r>
      <w:r w:rsidR="00136F76">
        <w:rPr>
          <w:rFonts w:ascii="Arial" w:hAnsi="Arial" w:cs="Arial"/>
          <w:b/>
          <w:sz w:val="20"/>
          <w:szCs w:val="20"/>
        </w:rPr>
        <w:t>a</w:t>
      </w:r>
      <w:r w:rsidRPr="00E4384F">
        <w:rPr>
          <w:rFonts w:ascii="Arial" w:hAnsi="Arial" w:cs="Arial"/>
          <w:b/>
          <w:sz w:val="20"/>
          <w:szCs w:val="20"/>
        </w:rPr>
        <w:t xml:space="preserve"> wierzytelności</w:t>
      </w:r>
      <w:r w:rsidRPr="00956D03">
        <w:rPr>
          <w:rFonts w:ascii="Arial" w:hAnsi="Arial" w:cs="Arial"/>
          <w:b/>
          <w:sz w:val="20"/>
          <w:szCs w:val="20"/>
        </w:rPr>
        <w:t xml:space="preserve"> przez Bank Ochrony Środowiska Spółkę Akcyjną z siedzibą w Warszawie.</w:t>
      </w:r>
    </w:p>
    <w:p w14:paraId="2A6491BB" w14:textId="77777777" w:rsidR="008F4181" w:rsidRPr="00956D03" w:rsidRDefault="008F4181" w:rsidP="008F4181">
      <w:pPr>
        <w:jc w:val="both"/>
        <w:rPr>
          <w:rFonts w:ascii="Arial" w:hAnsi="Arial" w:cs="Arial"/>
          <w:b/>
          <w:sz w:val="20"/>
          <w:szCs w:val="20"/>
        </w:rPr>
      </w:pPr>
    </w:p>
    <w:p w14:paraId="6F378667" w14:textId="77777777" w:rsidR="008F4181" w:rsidRPr="00956D03" w:rsidRDefault="008F4181" w:rsidP="008F4181">
      <w:pPr>
        <w:jc w:val="both"/>
        <w:rPr>
          <w:rFonts w:ascii="Arial" w:hAnsi="Arial" w:cs="Arial"/>
          <w:sz w:val="20"/>
          <w:szCs w:val="20"/>
        </w:rPr>
      </w:pPr>
    </w:p>
    <w:p w14:paraId="402C0498" w14:textId="77777777" w:rsidR="008F4181" w:rsidRPr="007671ED" w:rsidRDefault="008F4181" w:rsidP="008F4181">
      <w:pPr>
        <w:widowControl/>
        <w:numPr>
          <w:ilvl w:val="0"/>
          <w:numId w:val="5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71ED">
        <w:rPr>
          <w:rFonts w:ascii="Arial" w:hAnsi="Arial" w:cs="Arial"/>
          <w:b/>
          <w:sz w:val="20"/>
          <w:szCs w:val="20"/>
        </w:rPr>
        <w:t>PRZEDMIOT SPRZEDAŻY</w:t>
      </w:r>
    </w:p>
    <w:p w14:paraId="73B919B3" w14:textId="77777777" w:rsidR="008F4181" w:rsidRPr="00956D03" w:rsidRDefault="008F4181" w:rsidP="008F4181">
      <w:pPr>
        <w:jc w:val="both"/>
        <w:rPr>
          <w:rFonts w:ascii="Arial" w:hAnsi="Arial" w:cs="Arial"/>
          <w:sz w:val="20"/>
          <w:szCs w:val="20"/>
        </w:rPr>
      </w:pPr>
    </w:p>
    <w:p w14:paraId="1F1BEA1B" w14:textId="3AB005B3" w:rsidR="008F4181" w:rsidRPr="00956D03" w:rsidRDefault="008F4181" w:rsidP="008F41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Sprzedażą objęte zostaną wierzytelności zaklasyfikowane do kategorii ryzyka </w:t>
      </w:r>
      <w:r w:rsidRPr="00A47E93">
        <w:rPr>
          <w:rFonts w:ascii="Arial" w:hAnsi="Arial" w:cs="Arial"/>
          <w:i/>
          <w:iCs/>
          <w:sz w:val="20"/>
          <w:szCs w:val="20"/>
        </w:rPr>
        <w:t>‘‘stracone’’</w:t>
      </w:r>
      <w:r w:rsidRPr="00956D03">
        <w:rPr>
          <w:rFonts w:ascii="Arial" w:hAnsi="Arial" w:cs="Arial"/>
          <w:sz w:val="20"/>
          <w:szCs w:val="20"/>
        </w:rPr>
        <w:t>, zgodnie z Rozporządzeniem Ministra Finansów z dnia 16 grudnia 2008 r. w sprawie zasad tworzenia rezerw na ryzyko związane z działalnością banków</w:t>
      </w:r>
      <w:r w:rsidR="00E160DE">
        <w:rPr>
          <w:rFonts w:ascii="Arial" w:hAnsi="Arial" w:cs="Arial"/>
          <w:sz w:val="20"/>
          <w:szCs w:val="20"/>
        </w:rPr>
        <w:t xml:space="preserve">, </w:t>
      </w:r>
      <w:r w:rsidRPr="00956D03">
        <w:rPr>
          <w:rFonts w:ascii="Arial" w:hAnsi="Arial" w:cs="Arial"/>
          <w:sz w:val="20"/>
          <w:szCs w:val="20"/>
        </w:rPr>
        <w:t xml:space="preserve">przysługujące Bankowi Ochrony Środowiska Spółce Akcyjnej z siedzibą w Warszawie (dalej jako </w:t>
      </w:r>
      <w:r w:rsidRPr="00956D03">
        <w:rPr>
          <w:rFonts w:ascii="Arial" w:hAnsi="Arial" w:cs="Arial"/>
          <w:b/>
          <w:sz w:val="20"/>
          <w:szCs w:val="20"/>
        </w:rPr>
        <w:t>„Bank”</w:t>
      </w:r>
      <w:r w:rsidRPr="00956D03">
        <w:rPr>
          <w:rFonts w:ascii="Arial" w:hAnsi="Arial" w:cs="Arial"/>
          <w:sz w:val="20"/>
          <w:szCs w:val="20"/>
        </w:rPr>
        <w:t xml:space="preserve">) wobec </w:t>
      </w:r>
      <w:r w:rsidRPr="00022E38">
        <w:rPr>
          <w:rFonts w:ascii="Arial" w:hAnsi="Arial" w:cs="Arial"/>
          <w:sz w:val="20"/>
          <w:szCs w:val="20"/>
        </w:rPr>
        <w:t xml:space="preserve">osób fizycznych, mikroprzedsiębiorstw, spółek osobowych i kapitałowych oraz wspólników spółek cywilnych i </w:t>
      </w:r>
      <w:r w:rsidR="00E160DE">
        <w:rPr>
          <w:rFonts w:ascii="Arial" w:hAnsi="Arial" w:cs="Arial"/>
          <w:sz w:val="20"/>
          <w:szCs w:val="20"/>
        </w:rPr>
        <w:t>osobowych</w:t>
      </w:r>
      <w:r w:rsidRPr="00022E38">
        <w:rPr>
          <w:rFonts w:ascii="Arial" w:hAnsi="Arial" w:cs="Arial"/>
          <w:sz w:val="20"/>
          <w:szCs w:val="20"/>
        </w:rPr>
        <w:t>.</w:t>
      </w:r>
    </w:p>
    <w:p w14:paraId="0CF0CDE0" w14:textId="77777777" w:rsidR="008F4181" w:rsidRPr="00956D03" w:rsidRDefault="008F4181" w:rsidP="008F4181">
      <w:pPr>
        <w:jc w:val="both"/>
        <w:rPr>
          <w:rFonts w:ascii="Arial" w:hAnsi="Arial" w:cs="Arial"/>
          <w:sz w:val="20"/>
          <w:szCs w:val="20"/>
        </w:rPr>
      </w:pPr>
    </w:p>
    <w:p w14:paraId="0D16C978" w14:textId="097FBF03" w:rsidR="008F4181" w:rsidRPr="00E160DE" w:rsidRDefault="008F4181" w:rsidP="00980664">
      <w:pPr>
        <w:pStyle w:val="Listapunktowana3"/>
        <w:numPr>
          <w:ilvl w:val="0"/>
          <w:numId w:val="0"/>
        </w:num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Hlk173828352"/>
      <w:r w:rsidRPr="00980664">
        <w:rPr>
          <w:rFonts w:ascii="Arial" w:hAnsi="Arial" w:cs="Arial"/>
          <w:sz w:val="20"/>
          <w:szCs w:val="20"/>
        </w:rPr>
        <w:t xml:space="preserve">Sprzedażą objęte zostaną wierzytelności w liczbie </w:t>
      </w:r>
      <w:r w:rsidR="00980664" w:rsidRPr="00980664">
        <w:rPr>
          <w:rFonts w:ascii="Arial" w:hAnsi="Arial" w:cs="Arial"/>
          <w:sz w:val="20"/>
          <w:szCs w:val="20"/>
        </w:rPr>
        <w:t xml:space="preserve">200 </w:t>
      </w:r>
      <w:r w:rsidRPr="00980664">
        <w:rPr>
          <w:rFonts w:ascii="Arial" w:hAnsi="Arial" w:cs="Arial"/>
          <w:sz w:val="20"/>
          <w:szCs w:val="20"/>
        </w:rPr>
        <w:t>sztuk na łączną kwotę ok.</w:t>
      </w:r>
      <w:r w:rsidR="00980664" w:rsidRPr="00980664">
        <w:rPr>
          <w:rFonts w:ascii="Arial" w:hAnsi="Arial" w:cs="Arial"/>
          <w:sz w:val="20"/>
          <w:szCs w:val="20"/>
        </w:rPr>
        <w:t xml:space="preserve"> 150</w:t>
      </w:r>
      <w:r w:rsidRPr="00980664">
        <w:rPr>
          <w:rFonts w:ascii="Arial" w:hAnsi="Arial" w:cs="Arial"/>
          <w:sz w:val="20"/>
          <w:szCs w:val="20"/>
        </w:rPr>
        <w:t xml:space="preserve"> mln PLN (słownie złotych:</w:t>
      </w:r>
      <w:r w:rsidR="00980664" w:rsidRPr="00980664">
        <w:rPr>
          <w:rFonts w:ascii="Arial" w:hAnsi="Arial" w:cs="Arial"/>
          <w:sz w:val="20"/>
          <w:szCs w:val="20"/>
        </w:rPr>
        <w:t xml:space="preserve"> sto pięćdziesiąt mln</w:t>
      </w:r>
      <w:r w:rsidRPr="00980664">
        <w:rPr>
          <w:rFonts w:ascii="Arial" w:hAnsi="Arial" w:cs="Arial"/>
          <w:sz w:val="20"/>
          <w:szCs w:val="20"/>
        </w:rPr>
        <w:t>)</w:t>
      </w:r>
      <w:r w:rsidRPr="00956D03">
        <w:rPr>
          <w:rFonts w:ascii="Arial" w:hAnsi="Arial" w:cs="Arial"/>
          <w:sz w:val="20"/>
          <w:szCs w:val="20"/>
          <w:highlight w:val="yellow"/>
        </w:rPr>
        <w:br/>
      </w:r>
      <w:r w:rsidRPr="00956D03">
        <w:rPr>
          <w:rFonts w:ascii="Arial" w:hAnsi="Arial" w:cs="Arial"/>
          <w:sz w:val="20"/>
          <w:szCs w:val="20"/>
          <w:u w:val="single"/>
        </w:rPr>
        <w:t>z tytułu należności głównej oraz należności ubocznych</w:t>
      </w:r>
      <w:r w:rsidRPr="00956D03">
        <w:rPr>
          <w:rFonts w:ascii="Arial" w:hAnsi="Arial" w:cs="Arial"/>
          <w:sz w:val="20"/>
          <w:szCs w:val="20"/>
        </w:rPr>
        <w:t xml:space="preserve"> (dalej jako „Portfel wierzytelności”)</w:t>
      </w:r>
      <w:r w:rsidR="00E160DE">
        <w:rPr>
          <w:rFonts w:ascii="Arial" w:hAnsi="Arial" w:cs="Arial"/>
          <w:sz w:val="20"/>
          <w:szCs w:val="20"/>
        </w:rPr>
        <w:t xml:space="preserve">, </w:t>
      </w:r>
      <w:r w:rsidRPr="00E160DE">
        <w:rPr>
          <w:rFonts w:ascii="Arial" w:hAnsi="Arial" w:cs="Arial"/>
          <w:sz w:val="20"/>
          <w:szCs w:val="20"/>
          <w:u w:val="single"/>
        </w:rPr>
        <w:t xml:space="preserve">powstałe między innymi </w:t>
      </w:r>
      <w:bookmarkStart w:id="1" w:name="_Hlk127785932"/>
      <w:r w:rsidR="00E160DE" w:rsidRPr="00E160DE">
        <w:rPr>
          <w:rFonts w:ascii="Arial" w:hAnsi="Arial" w:cs="Arial"/>
          <w:sz w:val="20"/>
          <w:szCs w:val="20"/>
          <w:u w:val="single"/>
        </w:rPr>
        <w:br/>
      </w:r>
      <w:r w:rsidRPr="00E160DE">
        <w:rPr>
          <w:rFonts w:ascii="Arial" w:hAnsi="Arial" w:cs="Arial"/>
          <w:sz w:val="20"/>
          <w:szCs w:val="20"/>
          <w:u w:val="single"/>
        </w:rPr>
        <w:t>z tytułu</w:t>
      </w:r>
      <w:r w:rsidRPr="00956D03">
        <w:rPr>
          <w:rFonts w:ascii="Arial" w:hAnsi="Arial" w:cs="Arial"/>
          <w:sz w:val="20"/>
          <w:szCs w:val="20"/>
        </w:rPr>
        <w:t>:</w:t>
      </w:r>
    </w:p>
    <w:bookmarkEnd w:id="1"/>
    <w:p w14:paraId="3E3BB1D2" w14:textId="77777777" w:rsidR="008F4181" w:rsidRPr="0081314F" w:rsidRDefault="008F4181" w:rsidP="00E160DE">
      <w:pPr>
        <w:pStyle w:val="Listapunktowan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14F">
        <w:rPr>
          <w:rFonts w:ascii="Arial" w:hAnsi="Arial" w:cs="Arial"/>
          <w:sz w:val="20"/>
          <w:szCs w:val="20"/>
        </w:rPr>
        <w:t>kredytów: w rachunkach bieżących, inwestycyjnych, obrotowych i innych,</w:t>
      </w:r>
    </w:p>
    <w:p w14:paraId="1321AC18" w14:textId="77777777" w:rsidR="008F4181" w:rsidRPr="0081314F" w:rsidRDefault="008F4181" w:rsidP="00E160DE">
      <w:pPr>
        <w:pStyle w:val="Listapunktowan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14F">
        <w:rPr>
          <w:rFonts w:ascii="Arial" w:hAnsi="Arial" w:cs="Arial"/>
          <w:sz w:val="20"/>
          <w:szCs w:val="20"/>
        </w:rPr>
        <w:t>zrealizowanych gwarancji bankowych,</w:t>
      </w:r>
    </w:p>
    <w:p w14:paraId="0DD3D04A" w14:textId="77777777" w:rsidR="008F4181" w:rsidRPr="0081314F" w:rsidRDefault="008F4181" w:rsidP="00E160DE">
      <w:pPr>
        <w:pStyle w:val="Listapunktowan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14F">
        <w:rPr>
          <w:rFonts w:ascii="Arial" w:hAnsi="Arial" w:cs="Arial"/>
          <w:sz w:val="20"/>
          <w:szCs w:val="20"/>
        </w:rPr>
        <w:t>opłat / prowizji za prowadzenie rachunków bankowych.</w:t>
      </w:r>
    </w:p>
    <w:bookmarkEnd w:id="0"/>
    <w:p w14:paraId="2399626D" w14:textId="77777777" w:rsidR="00852EBA" w:rsidRDefault="00852EBA" w:rsidP="00E160DE">
      <w:pPr>
        <w:tabs>
          <w:tab w:val="left" w:pos="1418"/>
          <w:tab w:val="left" w:pos="1560"/>
        </w:tabs>
        <w:jc w:val="both"/>
        <w:rPr>
          <w:rFonts w:ascii="Arial" w:hAnsi="Arial" w:cs="Arial"/>
          <w:b/>
          <w:sz w:val="20"/>
          <w:szCs w:val="20"/>
        </w:rPr>
      </w:pPr>
    </w:p>
    <w:p w14:paraId="6EFCD85B" w14:textId="754EE97A" w:rsidR="000F7240" w:rsidRDefault="008F4181" w:rsidP="00A47E93">
      <w:pPr>
        <w:tabs>
          <w:tab w:val="left" w:pos="1418"/>
          <w:tab w:val="left" w:pos="156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 xml:space="preserve">Portfel wierzytelności składa się z </w:t>
      </w:r>
      <w:bookmarkStart w:id="2" w:name="_Hlk58585970"/>
      <w:r w:rsidRPr="00FB28A4">
        <w:rPr>
          <w:rFonts w:ascii="Arial" w:hAnsi="Arial" w:cs="Arial"/>
          <w:sz w:val="20"/>
          <w:szCs w:val="20"/>
        </w:rPr>
        <w:t>wierzytelności segmentu korporacyjnego</w:t>
      </w:r>
      <w:r w:rsidRPr="00FB28A4">
        <w:rPr>
          <w:rFonts w:ascii="Arial" w:hAnsi="Arial" w:cs="Arial"/>
          <w:b/>
          <w:sz w:val="20"/>
          <w:szCs w:val="20"/>
        </w:rPr>
        <w:t xml:space="preserve"> </w:t>
      </w:r>
      <w:r w:rsidRPr="00FB28A4">
        <w:rPr>
          <w:rFonts w:ascii="Arial" w:hAnsi="Arial" w:cs="Arial"/>
          <w:sz w:val="20"/>
          <w:szCs w:val="20"/>
        </w:rPr>
        <w:t>z zabezpieczeniami, bez zabezpieczeń i ze zrealizowanymi zabezpieczeniami</w:t>
      </w:r>
      <w:r>
        <w:rPr>
          <w:rFonts w:ascii="Arial" w:hAnsi="Arial" w:cs="Arial"/>
          <w:sz w:val="20"/>
          <w:szCs w:val="20"/>
        </w:rPr>
        <w:t>.</w:t>
      </w:r>
      <w:r w:rsidR="00A47E93">
        <w:rPr>
          <w:rFonts w:ascii="Arial" w:hAnsi="Arial" w:cs="Arial"/>
          <w:bCs/>
          <w:sz w:val="20"/>
          <w:szCs w:val="20"/>
        </w:rPr>
        <w:t xml:space="preserve"> </w:t>
      </w:r>
      <w:r w:rsidR="00852EBA" w:rsidRPr="00FB28A4">
        <w:rPr>
          <w:rFonts w:ascii="Arial" w:hAnsi="Arial" w:cs="Arial"/>
          <w:bCs/>
          <w:sz w:val="20"/>
          <w:szCs w:val="20"/>
        </w:rPr>
        <w:t>Sprzedaży może podlegać</w:t>
      </w:r>
      <w:r w:rsidR="00852EBA">
        <w:rPr>
          <w:rFonts w:ascii="Arial" w:hAnsi="Arial" w:cs="Arial"/>
          <w:bCs/>
          <w:sz w:val="20"/>
          <w:szCs w:val="20"/>
        </w:rPr>
        <w:t xml:space="preserve"> tylko</w:t>
      </w:r>
      <w:r w:rsidR="00852EBA" w:rsidRPr="00FB28A4">
        <w:rPr>
          <w:rFonts w:ascii="Arial" w:hAnsi="Arial" w:cs="Arial"/>
          <w:bCs/>
          <w:sz w:val="20"/>
          <w:szCs w:val="20"/>
        </w:rPr>
        <w:t> cały Portfel</w:t>
      </w:r>
      <w:r w:rsidR="00852EBA">
        <w:rPr>
          <w:rFonts w:ascii="Arial" w:hAnsi="Arial" w:cs="Arial"/>
          <w:bCs/>
          <w:sz w:val="20"/>
          <w:szCs w:val="20"/>
        </w:rPr>
        <w:t xml:space="preserve"> wierzytelności.</w:t>
      </w:r>
      <w:r w:rsidR="00A47E93">
        <w:rPr>
          <w:rFonts w:ascii="Arial" w:hAnsi="Arial" w:cs="Arial"/>
          <w:bCs/>
          <w:sz w:val="20"/>
          <w:szCs w:val="20"/>
        </w:rPr>
        <w:t xml:space="preserve"> </w:t>
      </w:r>
      <w:r w:rsidRPr="00956D03">
        <w:rPr>
          <w:rFonts w:ascii="Arial" w:hAnsi="Arial" w:cs="Arial"/>
          <w:bCs/>
          <w:sz w:val="20"/>
          <w:szCs w:val="20"/>
        </w:rPr>
        <w:t xml:space="preserve">Bank zastrzega, iż liczba wierzytelności w Portfelu wierzytelności i jego wysokość nominalna może ulec zmianie. </w:t>
      </w:r>
      <w:bookmarkEnd w:id="2"/>
    </w:p>
    <w:p w14:paraId="133CABB1" w14:textId="77777777" w:rsidR="00852EBA" w:rsidRPr="00956D03" w:rsidRDefault="00852EBA" w:rsidP="008F4181">
      <w:pPr>
        <w:jc w:val="both"/>
        <w:rPr>
          <w:rFonts w:ascii="Arial" w:hAnsi="Arial" w:cs="Arial"/>
          <w:bCs/>
          <w:sz w:val="20"/>
          <w:szCs w:val="20"/>
        </w:rPr>
      </w:pPr>
    </w:p>
    <w:p w14:paraId="5EAA2EC7" w14:textId="77777777" w:rsidR="008F4181" w:rsidRPr="007671ED" w:rsidRDefault="008F4181" w:rsidP="008F4181">
      <w:pPr>
        <w:widowControl/>
        <w:numPr>
          <w:ilvl w:val="0"/>
          <w:numId w:val="5"/>
        </w:numPr>
        <w:autoSpaceDE/>
        <w:autoSpaceDN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71ED">
        <w:rPr>
          <w:rFonts w:ascii="Arial" w:hAnsi="Arial" w:cs="Arial"/>
          <w:b/>
          <w:bCs/>
          <w:sz w:val="20"/>
          <w:szCs w:val="20"/>
        </w:rPr>
        <w:t>WYMAGANIA DOTYCZĄCE OFERENTA (w zakresie dopuszczenia do dalszego etapu postępowania przetargowego)</w:t>
      </w:r>
    </w:p>
    <w:p w14:paraId="41D16CEC" w14:textId="77777777" w:rsidR="008F4181" w:rsidRPr="00956D03" w:rsidRDefault="008F4181" w:rsidP="008F4181">
      <w:pPr>
        <w:jc w:val="both"/>
        <w:rPr>
          <w:rFonts w:ascii="Arial" w:hAnsi="Arial" w:cs="Arial"/>
          <w:sz w:val="20"/>
          <w:szCs w:val="20"/>
        </w:rPr>
      </w:pPr>
    </w:p>
    <w:p w14:paraId="1A4C7167" w14:textId="744AC6A1" w:rsidR="008F4181" w:rsidRPr="00956D03" w:rsidRDefault="008F4181" w:rsidP="00E160DE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Oferentem może być fundusz </w:t>
      </w:r>
      <w:r w:rsidR="000F7240">
        <w:rPr>
          <w:rFonts w:ascii="Arial" w:hAnsi="Arial" w:cs="Arial"/>
          <w:sz w:val="20"/>
          <w:szCs w:val="20"/>
        </w:rPr>
        <w:t>wierzytelności</w:t>
      </w:r>
      <w:r w:rsidRPr="00956D03">
        <w:rPr>
          <w:rFonts w:ascii="Arial" w:hAnsi="Arial" w:cs="Arial"/>
          <w:sz w:val="20"/>
          <w:szCs w:val="20"/>
        </w:rPr>
        <w:t xml:space="preserve">, towarzystwo funduszy inwestycyjnych tworzące fundusz </w:t>
      </w:r>
      <w:r w:rsidR="000F7240">
        <w:rPr>
          <w:rFonts w:ascii="Arial" w:hAnsi="Arial" w:cs="Arial"/>
          <w:sz w:val="20"/>
          <w:szCs w:val="20"/>
        </w:rPr>
        <w:t>wierzytelności</w:t>
      </w:r>
      <w:r w:rsidRPr="00956D03">
        <w:rPr>
          <w:rFonts w:ascii="Arial" w:hAnsi="Arial" w:cs="Arial"/>
          <w:sz w:val="20"/>
          <w:szCs w:val="20"/>
        </w:rPr>
        <w:t xml:space="preserve"> lub inny podmiot.</w:t>
      </w:r>
    </w:p>
    <w:p w14:paraId="01A743D4" w14:textId="77777777" w:rsidR="008F4181" w:rsidRPr="00956D03" w:rsidRDefault="008F4181" w:rsidP="00E160DE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>Oferent najpóźniej w dniu złożenia pisma wyrażającego zainteresowanie udziałem w postępowaniu przetargowym powinien złożyć:</w:t>
      </w:r>
    </w:p>
    <w:p w14:paraId="08E1D377" w14:textId="53A838F0" w:rsidR="008F4181" w:rsidRDefault="008F4181" w:rsidP="00E160DE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t xml:space="preserve">„oświadczenie o zachowaniu poufności” (wzór w załączeniu), </w:t>
      </w:r>
    </w:p>
    <w:p w14:paraId="5A7A3F97" w14:textId="77777777" w:rsidR="008F4181" w:rsidRDefault="008F4181" w:rsidP="00E160DE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t xml:space="preserve">odpis z sądowego rejestru funduszy inwestycyjnych lub aktualny odpis z KRS Oferenta, </w:t>
      </w:r>
    </w:p>
    <w:p w14:paraId="1EE67483" w14:textId="77777777" w:rsidR="008F4181" w:rsidRDefault="008F4181" w:rsidP="00E160DE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t>dokumenty potwierdzające prawidłowe umocowanie osób podpisujących pismo wyrażające zainteresowanie udziałem w postępowaniu przetargowym oraz oświadczenie o zachowaniu poufności,</w:t>
      </w:r>
    </w:p>
    <w:p w14:paraId="0A108FEC" w14:textId="77777777" w:rsidR="008F4181" w:rsidRPr="00E160DE" w:rsidRDefault="008F4181" w:rsidP="00E160DE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lastRenderedPageBreak/>
        <w:t xml:space="preserve">dane osoby/osób upoważnionych do kontaktów z Bankiem w sprawie postępowania przetargowego wraz z adresem do kontaktów. Adresem do kontaktów może być wyłącznie adres w Polsce.     </w:t>
      </w:r>
    </w:p>
    <w:p w14:paraId="386E0B67" w14:textId="77777777" w:rsidR="008F4181" w:rsidRPr="00956D03" w:rsidRDefault="008F4181" w:rsidP="00E160DE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>Oferentem nie może być:</w:t>
      </w:r>
    </w:p>
    <w:p w14:paraId="70B850DF" w14:textId="049CA010" w:rsidR="008F4181" w:rsidRDefault="008F4181" w:rsidP="00E160DE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t>żaden z dłużników sprzedawanych wierzytelności,</w:t>
      </w:r>
    </w:p>
    <w:p w14:paraId="6E5F6F98" w14:textId="1FFB8DEE" w:rsidR="000F7240" w:rsidRPr="00E160DE" w:rsidRDefault="008F4181" w:rsidP="008F4181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t>podmiot dominujący lub podmiot zależny w rozumieniu Ustawy z dnia 29 lipca 2005 r. o ofercie publicznej i warunkach wprowadzania instrumentów finansowych do zorganizowanego systemu obrotu oraz o spółkach</w:t>
      </w:r>
      <w:r w:rsidR="00E160DE">
        <w:rPr>
          <w:rFonts w:ascii="Arial" w:hAnsi="Arial" w:cs="Arial"/>
          <w:sz w:val="20"/>
          <w:szCs w:val="20"/>
        </w:rPr>
        <w:t xml:space="preserve">, </w:t>
      </w:r>
      <w:r w:rsidR="00E160DE">
        <w:rPr>
          <w:rFonts w:ascii="Arial" w:hAnsi="Arial" w:cs="Arial"/>
          <w:sz w:val="20"/>
          <w:szCs w:val="20"/>
        </w:rPr>
        <w:br/>
      </w:r>
      <w:r w:rsidRPr="00E160DE">
        <w:rPr>
          <w:rFonts w:ascii="Arial" w:hAnsi="Arial" w:cs="Arial"/>
          <w:sz w:val="20"/>
          <w:szCs w:val="20"/>
        </w:rPr>
        <w:t>w stosunku do dłużników głównych sprzedawanych wierzytelności.</w:t>
      </w:r>
    </w:p>
    <w:p w14:paraId="316B6251" w14:textId="77777777" w:rsidR="000F7240" w:rsidRPr="00956D03" w:rsidRDefault="000F7240" w:rsidP="008F4181">
      <w:pPr>
        <w:jc w:val="both"/>
        <w:rPr>
          <w:rFonts w:ascii="Arial" w:hAnsi="Arial" w:cs="Arial"/>
          <w:b/>
          <w:sz w:val="20"/>
          <w:szCs w:val="20"/>
        </w:rPr>
      </w:pPr>
    </w:p>
    <w:p w14:paraId="23EB1C14" w14:textId="77777777" w:rsidR="008F4181" w:rsidRPr="00956D03" w:rsidRDefault="008F4181" w:rsidP="007671ED">
      <w:pPr>
        <w:tabs>
          <w:tab w:val="left" w:pos="-1440"/>
          <w:tab w:val="right" w:pos="-1368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174003040"/>
      <w:r w:rsidRPr="00956D03">
        <w:rPr>
          <w:rFonts w:ascii="Arial" w:hAnsi="Arial" w:cs="Arial"/>
          <w:b/>
          <w:sz w:val="20"/>
          <w:szCs w:val="20"/>
        </w:rPr>
        <w:t>III.</w:t>
      </w:r>
      <w:r w:rsidRPr="00956D03">
        <w:rPr>
          <w:rFonts w:ascii="Arial" w:hAnsi="Arial" w:cs="Arial"/>
          <w:b/>
          <w:sz w:val="20"/>
          <w:szCs w:val="20"/>
        </w:rPr>
        <w:tab/>
      </w:r>
      <w:r w:rsidRPr="007671ED">
        <w:rPr>
          <w:rFonts w:ascii="Arial" w:hAnsi="Arial" w:cs="Arial"/>
          <w:b/>
          <w:sz w:val="20"/>
          <w:szCs w:val="20"/>
        </w:rPr>
        <w:t>TERMINY</w:t>
      </w:r>
    </w:p>
    <w:bookmarkEnd w:id="3"/>
    <w:p w14:paraId="0DA103E9" w14:textId="77777777" w:rsidR="008F4181" w:rsidRPr="00956D03" w:rsidRDefault="008F4181" w:rsidP="008F4181">
      <w:pPr>
        <w:pStyle w:val="Akapitzlist"/>
        <w:widowControl/>
        <w:numPr>
          <w:ilvl w:val="0"/>
          <w:numId w:val="11"/>
        </w:numPr>
        <w:tabs>
          <w:tab w:val="left" w:pos="-1440"/>
          <w:tab w:val="right" w:pos="-1368"/>
        </w:tabs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Pismo wyrażające zainteresowanie udziałem w postępowaniu przetargowym, podpisane przez osoby prawidłowo umocowane do reprezentacji Oferenta </w:t>
      </w:r>
      <w:r w:rsidRPr="00956D03">
        <w:rPr>
          <w:rFonts w:ascii="Arial" w:hAnsi="Arial" w:cs="Arial"/>
          <w:sz w:val="20"/>
          <w:szCs w:val="20"/>
          <w:u w:val="single"/>
        </w:rPr>
        <w:t>należy doręczyć na adres</w:t>
      </w:r>
      <w:r w:rsidRPr="00956D03">
        <w:rPr>
          <w:rFonts w:ascii="Arial" w:hAnsi="Arial" w:cs="Arial"/>
          <w:sz w:val="20"/>
          <w:szCs w:val="20"/>
        </w:rPr>
        <w:t xml:space="preserve">: </w:t>
      </w:r>
    </w:p>
    <w:p w14:paraId="751FB08C" w14:textId="77777777" w:rsidR="008F4181" w:rsidRPr="00956D03" w:rsidRDefault="008F4181" w:rsidP="008F4181">
      <w:pPr>
        <w:tabs>
          <w:tab w:val="left" w:pos="-1440"/>
          <w:tab w:val="right" w:pos="-136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ab/>
        <w:t>Bank Ochrony Środowiska S.A. w Warszawie</w:t>
      </w:r>
    </w:p>
    <w:p w14:paraId="5BC4DFD2" w14:textId="77777777" w:rsidR="008F4181" w:rsidRPr="00956D03" w:rsidRDefault="008F4181" w:rsidP="008F4181">
      <w:pPr>
        <w:tabs>
          <w:tab w:val="left" w:pos="-1440"/>
          <w:tab w:val="right" w:pos="-136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ab/>
        <w:t>Departament Restrukturyzacji i Windykacji</w:t>
      </w:r>
    </w:p>
    <w:p w14:paraId="2ACB69F6" w14:textId="77777777" w:rsidR="008F4181" w:rsidRPr="00956D03" w:rsidRDefault="008F4181" w:rsidP="008F4181">
      <w:pPr>
        <w:tabs>
          <w:tab w:val="left" w:pos="-1440"/>
          <w:tab w:val="right" w:pos="-13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ab/>
        <w:t xml:space="preserve">ul. Żelazna 32, </w:t>
      </w:r>
    </w:p>
    <w:p w14:paraId="58ACC0B5" w14:textId="77777777" w:rsidR="008F4181" w:rsidRPr="00956D03" w:rsidRDefault="008F4181" w:rsidP="008F4181">
      <w:pPr>
        <w:tabs>
          <w:tab w:val="left" w:pos="-1440"/>
          <w:tab w:val="right" w:pos="-13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ab/>
        <w:t xml:space="preserve">00-832 Warszawa, </w:t>
      </w:r>
    </w:p>
    <w:p w14:paraId="7669BE63" w14:textId="614F2B1F" w:rsidR="008F4181" w:rsidRPr="00956D03" w:rsidRDefault="008F4181" w:rsidP="008F4181">
      <w:pPr>
        <w:tabs>
          <w:tab w:val="left" w:pos="-1440"/>
          <w:tab w:val="right" w:pos="-1368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  <w:u w:val="single"/>
        </w:rPr>
        <w:t xml:space="preserve">z dopiskiem </w:t>
      </w:r>
      <w:r w:rsidRPr="00956D03">
        <w:rPr>
          <w:rFonts w:ascii="Arial" w:hAnsi="Arial" w:cs="Arial"/>
          <w:i/>
          <w:sz w:val="20"/>
          <w:szCs w:val="20"/>
          <w:u w:val="single"/>
        </w:rPr>
        <w:t>„sprzedaż wierzytelności</w:t>
      </w:r>
      <w:r w:rsidR="00624531">
        <w:rPr>
          <w:rFonts w:ascii="Arial" w:hAnsi="Arial" w:cs="Arial"/>
          <w:i/>
          <w:sz w:val="20"/>
          <w:szCs w:val="20"/>
          <w:u w:val="single"/>
        </w:rPr>
        <w:t xml:space="preserve"> 2024</w:t>
      </w:r>
      <w:r w:rsidRPr="00956D03">
        <w:rPr>
          <w:rFonts w:ascii="Arial" w:hAnsi="Arial" w:cs="Arial"/>
          <w:i/>
          <w:sz w:val="20"/>
          <w:szCs w:val="20"/>
          <w:u w:val="single"/>
        </w:rPr>
        <w:t>”</w:t>
      </w:r>
      <w:r w:rsidRPr="00956D03">
        <w:rPr>
          <w:rFonts w:ascii="Arial" w:hAnsi="Arial" w:cs="Arial"/>
          <w:sz w:val="20"/>
          <w:szCs w:val="20"/>
          <w:u w:val="single"/>
        </w:rPr>
        <w:t xml:space="preserve"> na ręce: Piotr Wawrzonkiewicz, Roman Klentak w nieprzekraczalnym terminie</w:t>
      </w:r>
      <w:r w:rsidRPr="00956D03">
        <w:rPr>
          <w:rFonts w:ascii="Arial" w:hAnsi="Arial" w:cs="Arial"/>
          <w:sz w:val="20"/>
          <w:szCs w:val="20"/>
        </w:rPr>
        <w:t xml:space="preserve"> </w:t>
      </w:r>
      <w:r w:rsidRPr="00956D03">
        <w:rPr>
          <w:rFonts w:ascii="Arial" w:hAnsi="Arial" w:cs="Arial"/>
          <w:b/>
          <w:sz w:val="20"/>
          <w:szCs w:val="20"/>
        </w:rPr>
        <w:t xml:space="preserve">do </w:t>
      </w:r>
      <w:r w:rsidRPr="00980664">
        <w:rPr>
          <w:rFonts w:ascii="Arial" w:hAnsi="Arial" w:cs="Arial"/>
          <w:b/>
          <w:sz w:val="20"/>
          <w:szCs w:val="20"/>
        </w:rPr>
        <w:t xml:space="preserve">dnia </w:t>
      </w:r>
      <w:r w:rsidR="000F7240" w:rsidRPr="00980664">
        <w:rPr>
          <w:rFonts w:ascii="Arial" w:hAnsi="Arial" w:cs="Arial"/>
          <w:b/>
          <w:sz w:val="20"/>
          <w:szCs w:val="20"/>
        </w:rPr>
        <w:t>09</w:t>
      </w:r>
      <w:r w:rsidRPr="00980664">
        <w:rPr>
          <w:rFonts w:ascii="Arial" w:hAnsi="Arial" w:cs="Arial"/>
          <w:b/>
          <w:sz w:val="20"/>
          <w:szCs w:val="20"/>
        </w:rPr>
        <w:t>/</w:t>
      </w:r>
      <w:r w:rsidR="000F7240" w:rsidRPr="00980664">
        <w:rPr>
          <w:rFonts w:ascii="Arial" w:hAnsi="Arial" w:cs="Arial"/>
          <w:b/>
          <w:sz w:val="20"/>
          <w:szCs w:val="20"/>
        </w:rPr>
        <w:t>09</w:t>
      </w:r>
      <w:r w:rsidRPr="00980664">
        <w:rPr>
          <w:rFonts w:ascii="Arial" w:hAnsi="Arial" w:cs="Arial"/>
          <w:b/>
          <w:sz w:val="20"/>
          <w:szCs w:val="20"/>
        </w:rPr>
        <w:t>/202</w:t>
      </w:r>
      <w:r w:rsidR="000F7240" w:rsidRPr="00980664">
        <w:rPr>
          <w:rFonts w:ascii="Arial" w:hAnsi="Arial" w:cs="Arial"/>
          <w:b/>
          <w:sz w:val="20"/>
          <w:szCs w:val="20"/>
        </w:rPr>
        <w:t>4</w:t>
      </w:r>
      <w:r w:rsidRPr="00980664">
        <w:rPr>
          <w:rFonts w:ascii="Arial" w:hAnsi="Arial" w:cs="Arial"/>
          <w:b/>
          <w:sz w:val="20"/>
          <w:szCs w:val="20"/>
        </w:rPr>
        <w:t xml:space="preserve"> roku do godziny 12:00</w:t>
      </w:r>
      <w:r w:rsidRPr="00956D03">
        <w:rPr>
          <w:rFonts w:ascii="Arial" w:hAnsi="Arial" w:cs="Arial"/>
          <w:sz w:val="20"/>
          <w:szCs w:val="20"/>
        </w:rPr>
        <w:t xml:space="preserve">, </w:t>
      </w:r>
      <w:r w:rsidRPr="00A47E93">
        <w:rPr>
          <w:rFonts w:ascii="Arial" w:hAnsi="Arial" w:cs="Arial"/>
          <w:b/>
          <w:bCs/>
          <w:sz w:val="20"/>
          <w:szCs w:val="20"/>
        </w:rPr>
        <w:t>przy czym o zachowaniu terminu i godziny decyduje rzeczywisty wpływ pisma do Banku na adres wskazany powyżej</w:t>
      </w:r>
      <w:r w:rsidRPr="00956D03">
        <w:rPr>
          <w:rFonts w:ascii="Arial" w:hAnsi="Arial" w:cs="Arial"/>
          <w:sz w:val="20"/>
          <w:szCs w:val="20"/>
        </w:rPr>
        <w:t>.</w:t>
      </w:r>
    </w:p>
    <w:p w14:paraId="51B9C59D" w14:textId="10809F7B" w:rsidR="008F4181" w:rsidRPr="00956D03" w:rsidRDefault="008F4181" w:rsidP="008F418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Pismo o którym mowa w ust. 1 powyżej, może być również podpisane przez osoby prawidłowo umocowane do reprezentacji Oferenta z wykorzystaniem podpisu elektronicznego Szafir KIR. W takim przypadku pismo należy doręczyć </w:t>
      </w:r>
      <w:r w:rsidRPr="00956D03">
        <w:rPr>
          <w:rFonts w:ascii="Arial" w:hAnsi="Arial" w:cs="Arial"/>
          <w:b/>
          <w:sz w:val="20"/>
          <w:szCs w:val="20"/>
        </w:rPr>
        <w:t xml:space="preserve">do </w:t>
      </w:r>
      <w:r w:rsidRPr="00980664">
        <w:rPr>
          <w:rFonts w:ascii="Arial" w:hAnsi="Arial" w:cs="Arial"/>
          <w:b/>
          <w:sz w:val="20"/>
          <w:szCs w:val="20"/>
        </w:rPr>
        <w:t xml:space="preserve">dnia </w:t>
      </w:r>
      <w:r w:rsidR="000F7240" w:rsidRPr="00980664">
        <w:rPr>
          <w:rFonts w:ascii="Arial" w:hAnsi="Arial" w:cs="Arial"/>
          <w:b/>
          <w:sz w:val="20"/>
          <w:szCs w:val="20"/>
        </w:rPr>
        <w:t>09</w:t>
      </w:r>
      <w:r w:rsidRPr="00980664">
        <w:rPr>
          <w:rFonts w:ascii="Arial" w:hAnsi="Arial" w:cs="Arial"/>
          <w:b/>
          <w:sz w:val="20"/>
          <w:szCs w:val="20"/>
        </w:rPr>
        <w:t>/</w:t>
      </w:r>
      <w:r w:rsidR="000F7240" w:rsidRPr="00980664">
        <w:rPr>
          <w:rFonts w:ascii="Arial" w:hAnsi="Arial" w:cs="Arial"/>
          <w:b/>
          <w:sz w:val="20"/>
          <w:szCs w:val="20"/>
        </w:rPr>
        <w:t>09</w:t>
      </w:r>
      <w:r w:rsidRPr="00980664">
        <w:rPr>
          <w:rFonts w:ascii="Arial" w:hAnsi="Arial" w:cs="Arial"/>
          <w:b/>
          <w:sz w:val="20"/>
          <w:szCs w:val="20"/>
        </w:rPr>
        <w:t>/202</w:t>
      </w:r>
      <w:r w:rsidR="000F7240" w:rsidRPr="00980664">
        <w:rPr>
          <w:rFonts w:ascii="Arial" w:hAnsi="Arial" w:cs="Arial"/>
          <w:b/>
          <w:sz w:val="20"/>
          <w:szCs w:val="20"/>
        </w:rPr>
        <w:t>4</w:t>
      </w:r>
      <w:r w:rsidRPr="00980664">
        <w:rPr>
          <w:rFonts w:ascii="Arial" w:hAnsi="Arial" w:cs="Arial"/>
          <w:b/>
          <w:sz w:val="20"/>
          <w:szCs w:val="20"/>
        </w:rPr>
        <w:t xml:space="preserve"> roku do godziny 12:00</w:t>
      </w:r>
      <w:r w:rsidRPr="00980664">
        <w:rPr>
          <w:rFonts w:ascii="Arial" w:hAnsi="Arial" w:cs="Arial"/>
          <w:sz w:val="20"/>
          <w:szCs w:val="20"/>
        </w:rPr>
        <w:t>, na adres e-mail:</w:t>
      </w:r>
    </w:p>
    <w:p w14:paraId="5EDEF65E" w14:textId="77777777" w:rsidR="008F4181" w:rsidRPr="00956D03" w:rsidRDefault="008F4181" w:rsidP="008F4181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956D03">
        <w:rPr>
          <w:rFonts w:ascii="Arial" w:hAnsi="Arial" w:cs="Arial"/>
          <w:sz w:val="20"/>
          <w:szCs w:val="20"/>
          <w:u w:val="single"/>
        </w:rPr>
        <w:t>drw.sprzedaz@bosbank.pl; roman.klentak@bosbank.pl oraz sylwia.litke@bosbank.pl</w:t>
      </w:r>
    </w:p>
    <w:p w14:paraId="2A9E684A" w14:textId="193332A5" w:rsidR="008F4181" w:rsidRPr="00956D03" w:rsidRDefault="008F4181" w:rsidP="008F4181">
      <w:pPr>
        <w:pStyle w:val="Akapitzlist"/>
        <w:tabs>
          <w:tab w:val="left" w:pos="-1440"/>
          <w:tab w:val="right" w:pos="-1368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47E93">
        <w:rPr>
          <w:rFonts w:ascii="Arial" w:hAnsi="Arial" w:cs="Arial"/>
          <w:b/>
          <w:bCs/>
          <w:sz w:val="20"/>
          <w:szCs w:val="20"/>
        </w:rPr>
        <w:t>przy czym o zachowaniu terminu i godziny decyduje rzeczywisty wpływu maila od Oferenta na wskazaną powyżej skrzynkę mailową</w:t>
      </w:r>
      <w:r w:rsidRPr="00956D03">
        <w:rPr>
          <w:rFonts w:ascii="Arial" w:hAnsi="Arial" w:cs="Arial"/>
          <w:sz w:val="20"/>
          <w:szCs w:val="20"/>
        </w:rPr>
        <w:t xml:space="preserve">. W tytule maila należy wpisać </w:t>
      </w:r>
      <w:r w:rsidRPr="00956D03">
        <w:rPr>
          <w:rFonts w:ascii="Arial" w:hAnsi="Arial" w:cs="Arial"/>
          <w:i/>
          <w:sz w:val="20"/>
          <w:szCs w:val="20"/>
          <w:u w:val="single"/>
        </w:rPr>
        <w:t>„sprzedaż wierzytelności 202</w:t>
      </w:r>
      <w:r w:rsidR="000F7240">
        <w:rPr>
          <w:rFonts w:ascii="Arial" w:hAnsi="Arial" w:cs="Arial"/>
          <w:i/>
          <w:sz w:val="20"/>
          <w:szCs w:val="20"/>
          <w:u w:val="single"/>
        </w:rPr>
        <w:t>4</w:t>
      </w:r>
      <w:r w:rsidRPr="00956D03">
        <w:rPr>
          <w:rFonts w:ascii="Arial" w:hAnsi="Arial" w:cs="Arial"/>
          <w:i/>
          <w:sz w:val="20"/>
          <w:szCs w:val="20"/>
          <w:u w:val="single"/>
        </w:rPr>
        <w:t>”</w:t>
      </w:r>
      <w:r w:rsidRPr="00956D03">
        <w:rPr>
          <w:rFonts w:ascii="Arial" w:hAnsi="Arial" w:cs="Arial"/>
          <w:i/>
          <w:sz w:val="20"/>
          <w:szCs w:val="20"/>
        </w:rPr>
        <w:t>.</w:t>
      </w:r>
    </w:p>
    <w:p w14:paraId="1A13A731" w14:textId="77777777" w:rsidR="008F4181" w:rsidRPr="00956D03" w:rsidRDefault="008F4181" w:rsidP="008F418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W przypadku doręczenia do Banku we wskazanym powyżej terminie pisma wyrażającego zainteresowanie udziałem w postępowaniu przetargowym wraz z dokumentacją o której mowa w pkt. II, </w:t>
      </w:r>
      <w:r w:rsidRPr="00956D03">
        <w:rPr>
          <w:rFonts w:ascii="Arial" w:hAnsi="Arial" w:cs="Arial"/>
          <w:sz w:val="20"/>
          <w:szCs w:val="20"/>
          <w:u w:val="single"/>
        </w:rPr>
        <w:t>Bank prześle wyłącznie wybranym Oferentom</w:t>
      </w:r>
      <w:r w:rsidRPr="00956D03">
        <w:rPr>
          <w:rFonts w:ascii="Arial" w:hAnsi="Arial" w:cs="Arial"/>
          <w:sz w:val="20"/>
          <w:szCs w:val="20"/>
        </w:rPr>
        <w:t xml:space="preserve">: </w:t>
      </w:r>
    </w:p>
    <w:p w14:paraId="7F01C123" w14:textId="5404A5F9" w:rsidR="008F4181" w:rsidRDefault="008F4181" w:rsidP="00E160D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t>Regulamin Prowadzenia Przetargu wraz z załącznikami,</w:t>
      </w:r>
    </w:p>
    <w:p w14:paraId="015B60B7" w14:textId="77777777" w:rsidR="008F4181" w:rsidRPr="00E160DE" w:rsidRDefault="008F4181" w:rsidP="00E160D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</w:rPr>
        <w:t>listę sprzedawanych wierzytelności.</w:t>
      </w:r>
    </w:p>
    <w:p w14:paraId="299A0FD8" w14:textId="77777777" w:rsidR="008F4181" w:rsidRPr="00956D03" w:rsidRDefault="008F4181" w:rsidP="00E160DE">
      <w:pPr>
        <w:pStyle w:val="Tekstpodstawowy"/>
        <w:rPr>
          <w:rFonts w:ascii="Arial" w:hAnsi="Arial" w:cs="Arial"/>
          <w:sz w:val="20"/>
          <w:szCs w:val="20"/>
        </w:rPr>
      </w:pPr>
    </w:p>
    <w:p w14:paraId="44D1218F" w14:textId="7A8D958A" w:rsidR="008F4181" w:rsidRPr="00E160DE" w:rsidRDefault="008F4181" w:rsidP="00E160DE">
      <w:pPr>
        <w:pStyle w:val="Akapitzlist"/>
        <w:widowControl/>
        <w:numPr>
          <w:ilvl w:val="0"/>
          <w:numId w:val="9"/>
        </w:numPr>
        <w:tabs>
          <w:tab w:val="left" w:pos="426"/>
        </w:tabs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>SZCZEGÓLNE WARUNKI POSTĘPOWANIA I SPRZEDAŻY</w:t>
      </w:r>
    </w:p>
    <w:p w14:paraId="1A94B120" w14:textId="3E653AA1" w:rsidR="008F4181" w:rsidRPr="00956D03" w:rsidRDefault="008F4181" w:rsidP="00E160DE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Bank przewiduje wyłonienie nabywcy Portfela wierzytelności </w:t>
      </w:r>
      <w:r w:rsidRPr="00956D03">
        <w:rPr>
          <w:rFonts w:ascii="Arial" w:hAnsi="Arial" w:cs="Arial"/>
          <w:b/>
          <w:sz w:val="20"/>
          <w:szCs w:val="20"/>
        </w:rPr>
        <w:t>w drodze wyboru najkorzystniejszej oferty cenowej</w:t>
      </w:r>
      <w:r w:rsidRPr="00956D03">
        <w:rPr>
          <w:rFonts w:ascii="Arial" w:hAnsi="Arial" w:cs="Arial"/>
          <w:sz w:val="20"/>
          <w:szCs w:val="20"/>
        </w:rPr>
        <w:t xml:space="preserve">. </w:t>
      </w:r>
      <w:r w:rsidR="00E160DE">
        <w:rPr>
          <w:rFonts w:ascii="Arial" w:hAnsi="Arial" w:cs="Arial"/>
          <w:sz w:val="20"/>
          <w:szCs w:val="20"/>
        </w:rPr>
        <w:br/>
      </w:r>
      <w:r w:rsidRPr="00956D03">
        <w:rPr>
          <w:rFonts w:ascii="Arial" w:hAnsi="Arial" w:cs="Arial"/>
          <w:sz w:val="20"/>
          <w:szCs w:val="20"/>
        </w:rPr>
        <w:t>Po złożeniu wiążących ofert przez Oferentów Bank dopuszcza możliwość prowadzenia dalszych rokowań cenowych.</w:t>
      </w:r>
      <w:r w:rsidR="00E160DE">
        <w:rPr>
          <w:rFonts w:ascii="Arial" w:hAnsi="Arial" w:cs="Arial"/>
          <w:sz w:val="20"/>
          <w:szCs w:val="20"/>
        </w:rPr>
        <w:t xml:space="preserve"> </w:t>
      </w:r>
      <w:r w:rsidRPr="00E160DE">
        <w:rPr>
          <w:rFonts w:ascii="Arial" w:hAnsi="Arial" w:cs="Arial"/>
          <w:sz w:val="20"/>
          <w:szCs w:val="20"/>
          <w:u w:val="single"/>
        </w:rPr>
        <w:t>Bank zastrzega jednocześnie</w:t>
      </w:r>
      <w:r w:rsidRPr="00956D03">
        <w:rPr>
          <w:rFonts w:ascii="Arial" w:hAnsi="Arial" w:cs="Arial"/>
          <w:sz w:val="20"/>
          <w:szCs w:val="20"/>
        </w:rPr>
        <w:t>, że ostateczna decyzja w sprawie wyrażenia zgody na zawarcie umowy sprzedaży</w:t>
      </w:r>
      <w:r w:rsidR="00E160DE">
        <w:rPr>
          <w:rFonts w:ascii="Arial" w:hAnsi="Arial" w:cs="Arial"/>
          <w:sz w:val="20"/>
          <w:szCs w:val="20"/>
        </w:rPr>
        <w:t xml:space="preserve"> </w:t>
      </w:r>
      <w:r w:rsidRPr="00956D03">
        <w:rPr>
          <w:rFonts w:ascii="Arial" w:hAnsi="Arial" w:cs="Arial"/>
          <w:sz w:val="20"/>
          <w:szCs w:val="20"/>
        </w:rPr>
        <w:t>Portfela wierzytelności należy do Zarządu Banku.</w:t>
      </w:r>
    </w:p>
    <w:p w14:paraId="555BE62D" w14:textId="77777777" w:rsidR="008F4181" w:rsidRDefault="008F4181" w:rsidP="008F4181">
      <w:pPr>
        <w:pStyle w:val="Tekstpodstawowy"/>
        <w:rPr>
          <w:rFonts w:ascii="Arial" w:hAnsi="Arial" w:cs="Arial"/>
          <w:sz w:val="20"/>
          <w:szCs w:val="20"/>
        </w:rPr>
      </w:pPr>
    </w:p>
    <w:p w14:paraId="4E5E9D0B" w14:textId="77777777" w:rsidR="00A47E93" w:rsidRDefault="00A47E93" w:rsidP="008F4181">
      <w:pPr>
        <w:pStyle w:val="Tekstpodstawowy"/>
        <w:rPr>
          <w:rFonts w:ascii="Arial" w:hAnsi="Arial" w:cs="Arial"/>
          <w:sz w:val="20"/>
          <w:szCs w:val="20"/>
        </w:rPr>
      </w:pPr>
    </w:p>
    <w:p w14:paraId="1D4936B9" w14:textId="77777777" w:rsidR="00A47E93" w:rsidRDefault="00A47E93" w:rsidP="008F4181">
      <w:pPr>
        <w:pStyle w:val="Tekstpodstawowy"/>
        <w:rPr>
          <w:rFonts w:ascii="Arial" w:hAnsi="Arial" w:cs="Arial"/>
          <w:sz w:val="20"/>
          <w:szCs w:val="20"/>
        </w:rPr>
      </w:pPr>
    </w:p>
    <w:p w14:paraId="52D23839" w14:textId="77777777" w:rsidR="00A47E93" w:rsidRPr="00956D03" w:rsidRDefault="00A47E93" w:rsidP="008F4181">
      <w:pPr>
        <w:pStyle w:val="Tekstpodstawowy"/>
        <w:rPr>
          <w:rFonts w:ascii="Arial" w:hAnsi="Arial" w:cs="Arial"/>
          <w:sz w:val="20"/>
          <w:szCs w:val="20"/>
        </w:rPr>
      </w:pPr>
    </w:p>
    <w:p w14:paraId="51B4F13D" w14:textId="1C93CE3B" w:rsidR="008F4181" w:rsidRPr="00E160DE" w:rsidRDefault="008F4181" w:rsidP="00E160DE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>KONTAKT</w:t>
      </w:r>
    </w:p>
    <w:p w14:paraId="42492A56" w14:textId="6D5B7237" w:rsidR="008F4181" w:rsidRPr="00956D03" w:rsidRDefault="008F4181" w:rsidP="00E16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>Informujemy, iż wszelka korespondencja w sprawie postępowania przetargowego kierowana do Banku, winna być przygotowana w języku polskim i zawierać adres korespondencyjny na terenie Polski.</w:t>
      </w:r>
    </w:p>
    <w:p w14:paraId="0BE9F485" w14:textId="77777777" w:rsidR="008F4181" w:rsidRPr="00956D03" w:rsidRDefault="008F4181" w:rsidP="008F418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  <w:u w:val="single"/>
        </w:rPr>
        <w:t>W przypadku pytań prosimy o kontakt telefoniczny z następującymi osobami</w:t>
      </w:r>
      <w:r w:rsidRPr="00956D03">
        <w:rPr>
          <w:rFonts w:ascii="Arial" w:hAnsi="Arial" w:cs="Arial"/>
          <w:sz w:val="20"/>
          <w:szCs w:val="20"/>
        </w:rPr>
        <w:t xml:space="preserve">: </w:t>
      </w:r>
    </w:p>
    <w:p w14:paraId="29564C8A" w14:textId="5BF6DD07" w:rsidR="008F4181" w:rsidRPr="00956D03" w:rsidRDefault="008F4181" w:rsidP="00E160DE">
      <w:pPr>
        <w:pStyle w:val="Tekstpodstawowy"/>
        <w:spacing w:line="360" w:lineRule="auto"/>
        <w:ind w:left="426" w:hanging="142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Roman Klentak tel.: </w:t>
      </w:r>
      <w:r w:rsidR="008F2E83">
        <w:rPr>
          <w:rFonts w:ascii="Arial" w:hAnsi="Arial" w:cs="Arial"/>
          <w:sz w:val="20"/>
          <w:szCs w:val="20"/>
        </w:rPr>
        <w:tab/>
      </w:r>
      <w:r w:rsidR="008F2E83">
        <w:rPr>
          <w:rFonts w:ascii="Arial" w:hAnsi="Arial" w:cs="Arial"/>
          <w:sz w:val="20"/>
          <w:szCs w:val="20"/>
        </w:rPr>
        <w:tab/>
      </w:r>
      <w:r w:rsidR="000F7240" w:rsidRPr="000F7240">
        <w:rPr>
          <w:rFonts w:ascii="Arial" w:hAnsi="Arial" w:cs="Arial"/>
          <w:sz w:val="20"/>
          <w:szCs w:val="20"/>
        </w:rPr>
        <w:t xml:space="preserve">+48 </w:t>
      </w:r>
      <w:r w:rsidRPr="00956D03">
        <w:rPr>
          <w:rFonts w:ascii="Arial" w:hAnsi="Arial" w:cs="Arial"/>
          <w:sz w:val="20"/>
          <w:szCs w:val="20"/>
        </w:rPr>
        <w:t>515 111</w:t>
      </w:r>
      <w:r w:rsidR="00E160DE">
        <w:rPr>
          <w:rFonts w:ascii="Arial" w:hAnsi="Arial" w:cs="Arial"/>
          <w:sz w:val="20"/>
          <w:szCs w:val="20"/>
        </w:rPr>
        <w:t> </w:t>
      </w:r>
      <w:r w:rsidRPr="00956D03">
        <w:rPr>
          <w:rFonts w:ascii="Arial" w:hAnsi="Arial" w:cs="Arial"/>
          <w:sz w:val="20"/>
          <w:szCs w:val="20"/>
        </w:rPr>
        <w:t>694</w:t>
      </w:r>
    </w:p>
    <w:p w14:paraId="6EC302C7" w14:textId="288A3D65" w:rsidR="008F4181" w:rsidRPr="00956D03" w:rsidRDefault="000F7240" w:rsidP="00E160DE">
      <w:pPr>
        <w:pStyle w:val="Tekstpodstawowy"/>
        <w:spacing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Bogusław Szpunar</w:t>
      </w:r>
      <w:r w:rsidR="008F4181" w:rsidRPr="00956D03">
        <w:rPr>
          <w:rFonts w:ascii="Arial" w:hAnsi="Arial" w:cs="Arial"/>
          <w:sz w:val="20"/>
          <w:szCs w:val="20"/>
        </w:rPr>
        <w:t xml:space="preserve"> tel.: </w:t>
      </w:r>
      <w:r w:rsidR="008F2E83">
        <w:rPr>
          <w:rFonts w:ascii="Arial" w:hAnsi="Arial" w:cs="Arial"/>
          <w:sz w:val="20"/>
          <w:szCs w:val="20"/>
        </w:rPr>
        <w:tab/>
      </w:r>
      <w:r w:rsidRPr="000F7240">
        <w:rPr>
          <w:rFonts w:ascii="Arial" w:hAnsi="Arial" w:cs="Arial"/>
          <w:sz w:val="20"/>
          <w:szCs w:val="20"/>
        </w:rPr>
        <w:t>+48 515 111</w:t>
      </w:r>
      <w:r w:rsidR="00E160DE">
        <w:rPr>
          <w:rFonts w:ascii="Arial" w:hAnsi="Arial" w:cs="Arial"/>
          <w:sz w:val="20"/>
          <w:szCs w:val="20"/>
        </w:rPr>
        <w:t> </w:t>
      </w:r>
      <w:r w:rsidRPr="000F7240">
        <w:rPr>
          <w:rFonts w:ascii="Arial" w:hAnsi="Arial" w:cs="Arial"/>
          <w:sz w:val="20"/>
          <w:szCs w:val="20"/>
        </w:rPr>
        <w:t>846</w:t>
      </w:r>
    </w:p>
    <w:p w14:paraId="4A4E726C" w14:textId="5A621C17" w:rsidR="008F4181" w:rsidRPr="00956D03" w:rsidRDefault="008F4181" w:rsidP="00E160DE">
      <w:pPr>
        <w:pStyle w:val="Tekstpodstawowy"/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>Piotr Wawrzonkiewicz tel.:</w:t>
      </w:r>
      <w:r w:rsidR="000F7240" w:rsidRPr="000F7240">
        <w:rPr>
          <w:rFonts w:ascii="Arial" w:hAnsi="Arial" w:cs="Arial"/>
          <w:sz w:val="20"/>
          <w:szCs w:val="20"/>
        </w:rPr>
        <w:t xml:space="preserve"> </w:t>
      </w:r>
      <w:r w:rsidR="008F2E83">
        <w:rPr>
          <w:rFonts w:ascii="Arial" w:hAnsi="Arial" w:cs="Arial"/>
          <w:sz w:val="20"/>
          <w:szCs w:val="20"/>
        </w:rPr>
        <w:tab/>
      </w:r>
      <w:r w:rsidR="000F7240" w:rsidRPr="000F7240">
        <w:rPr>
          <w:rFonts w:ascii="Arial" w:hAnsi="Arial" w:cs="Arial"/>
          <w:sz w:val="20"/>
          <w:szCs w:val="20"/>
        </w:rPr>
        <w:t>+48</w:t>
      </w:r>
      <w:r w:rsidRPr="00956D03">
        <w:rPr>
          <w:rFonts w:ascii="Arial" w:hAnsi="Arial" w:cs="Arial"/>
          <w:sz w:val="20"/>
          <w:szCs w:val="20"/>
        </w:rPr>
        <w:t xml:space="preserve"> 515 011 800</w:t>
      </w:r>
    </w:p>
    <w:p w14:paraId="3E8862E4" w14:textId="77777777" w:rsidR="008F4181" w:rsidRPr="00956D03" w:rsidRDefault="008F4181" w:rsidP="008F418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E160DE">
        <w:rPr>
          <w:rFonts w:ascii="Arial" w:hAnsi="Arial" w:cs="Arial"/>
          <w:sz w:val="20"/>
          <w:szCs w:val="20"/>
          <w:u w:val="single"/>
        </w:rPr>
        <w:t>Wszelką korespondencję należy kierować na adres</w:t>
      </w:r>
      <w:r w:rsidRPr="00956D03">
        <w:rPr>
          <w:rFonts w:ascii="Arial" w:hAnsi="Arial" w:cs="Arial"/>
          <w:sz w:val="20"/>
          <w:szCs w:val="20"/>
        </w:rPr>
        <w:t xml:space="preserve">: </w:t>
      </w:r>
    </w:p>
    <w:p w14:paraId="11468D83" w14:textId="77777777" w:rsidR="008F4181" w:rsidRPr="00956D03" w:rsidRDefault="008F4181" w:rsidP="008F4181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>Bank Ochrony Środowiska S.A. w Warszawie</w:t>
      </w:r>
    </w:p>
    <w:p w14:paraId="5AAF9568" w14:textId="77777777" w:rsidR="008F4181" w:rsidRPr="00956D03" w:rsidRDefault="008F4181" w:rsidP="008F4181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 xml:space="preserve">Departament Restrukturyzacji i Windykacji </w:t>
      </w:r>
    </w:p>
    <w:p w14:paraId="1D03A72D" w14:textId="77777777" w:rsidR="008F4181" w:rsidRPr="00956D03" w:rsidRDefault="008F4181" w:rsidP="008F418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 xml:space="preserve">ul. Żelazna 32; 00-832 Warszawa </w:t>
      </w:r>
    </w:p>
    <w:p w14:paraId="30312E82" w14:textId="16AFADE2" w:rsidR="008F4181" w:rsidRPr="00956D03" w:rsidRDefault="008F4181" w:rsidP="008F4181">
      <w:pPr>
        <w:pStyle w:val="Tekstpodstawowy"/>
        <w:rPr>
          <w:rFonts w:ascii="Arial" w:hAnsi="Arial" w:cs="Arial"/>
          <w:sz w:val="20"/>
          <w:szCs w:val="20"/>
        </w:rPr>
      </w:pPr>
      <w:r w:rsidRPr="00956D03">
        <w:rPr>
          <w:rFonts w:ascii="Arial" w:hAnsi="Arial" w:cs="Arial"/>
          <w:sz w:val="20"/>
          <w:szCs w:val="20"/>
        </w:rPr>
        <w:t>z dopiskiem „</w:t>
      </w:r>
      <w:r w:rsidRPr="00956D03">
        <w:rPr>
          <w:rFonts w:ascii="Arial" w:hAnsi="Arial" w:cs="Arial"/>
          <w:i/>
          <w:sz w:val="20"/>
          <w:szCs w:val="20"/>
        </w:rPr>
        <w:t>sprzedaż wierzytelności</w:t>
      </w:r>
      <w:r>
        <w:rPr>
          <w:rFonts w:ascii="Arial" w:hAnsi="Arial" w:cs="Arial"/>
          <w:i/>
          <w:sz w:val="20"/>
          <w:szCs w:val="20"/>
        </w:rPr>
        <w:t xml:space="preserve"> 202</w:t>
      </w:r>
      <w:r w:rsidR="000F7240">
        <w:rPr>
          <w:rFonts w:ascii="Arial" w:hAnsi="Arial" w:cs="Arial"/>
          <w:i/>
          <w:sz w:val="20"/>
          <w:szCs w:val="20"/>
        </w:rPr>
        <w:t>4</w:t>
      </w:r>
      <w:r w:rsidRPr="00956D03">
        <w:rPr>
          <w:rFonts w:ascii="Arial" w:hAnsi="Arial" w:cs="Arial"/>
          <w:sz w:val="20"/>
          <w:szCs w:val="20"/>
        </w:rPr>
        <w:t>”, na ręce: Piotr Wawrzonkiewicz, Roman Klentak.</w:t>
      </w:r>
    </w:p>
    <w:p w14:paraId="69D1FDCD" w14:textId="77777777" w:rsidR="008F4181" w:rsidRPr="00956D03" w:rsidRDefault="008F4181" w:rsidP="00E160DE">
      <w:pPr>
        <w:jc w:val="both"/>
        <w:rPr>
          <w:rFonts w:ascii="Arial" w:hAnsi="Arial" w:cs="Arial"/>
          <w:sz w:val="20"/>
          <w:szCs w:val="20"/>
        </w:rPr>
      </w:pPr>
    </w:p>
    <w:p w14:paraId="5CCA6D4D" w14:textId="0A858853" w:rsidR="008F4181" w:rsidRPr="00956D03" w:rsidRDefault="008F4181" w:rsidP="000F7240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56D03">
        <w:rPr>
          <w:rFonts w:ascii="Arial" w:hAnsi="Arial" w:cs="Arial"/>
          <w:b/>
          <w:sz w:val="20"/>
          <w:szCs w:val="20"/>
        </w:rPr>
        <w:t>Bank zastrzega sobie prawo swobodnego wyboru Oferentów</w:t>
      </w:r>
      <w:r w:rsidR="00E160DE">
        <w:rPr>
          <w:rFonts w:ascii="Arial" w:hAnsi="Arial" w:cs="Arial"/>
          <w:b/>
          <w:sz w:val="20"/>
          <w:szCs w:val="20"/>
        </w:rPr>
        <w:t xml:space="preserve"> </w:t>
      </w:r>
      <w:r w:rsidRPr="00956D03">
        <w:rPr>
          <w:rFonts w:ascii="Arial" w:hAnsi="Arial" w:cs="Arial"/>
          <w:b/>
          <w:sz w:val="20"/>
          <w:szCs w:val="20"/>
        </w:rPr>
        <w:t>do których zostaną skierowane zaproszenia do składania ofert oraz prawo do odstąpienia od sprzedaży Portfela wierzytelności lub poszczególnych wierzytelności bez podania przyczyn, na każdym etapie postępowania przetargowego</w:t>
      </w:r>
      <w:r w:rsidRPr="00956D03">
        <w:rPr>
          <w:rFonts w:ascii="Arial" w:hAnsi="Arial" w:cs="Arial"/>
          <w:sz w:val="20"/>
          <w:szCs w:val="20"/>
        </w:rPr>
        <w:t>.</w:t>
      </w:r>
    </w:p>
    <w:p w14:paraId="75930E4A" w14:textId="77777777" w:rsidR="008F470F" w:rsidRPr="003F5951" w:rsidRDefault="008F470F" w:rsidP="003F5951"/>
    <w:sectPr w:rsidR="008F470F" w:rsidRPr="003F5951" w:rsidSect="009F6A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985" w:right="680" w:bottom="1985" w:left="680" w:header="79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AFC3" w14:textId="77777777" w:rsidR="00040A72" w:rsidRDefault="00040A72" w:rsidP="00624190">
      <w:r>
        <w:separator/>
      </w:r>
    </w:p>
  </w:endnote>
  <w:endnote w:type="continuationSeparator" w:id="0">
    <w:p w14:paraId="19292493" w14:textId="77777777" w:rsidR="00040A72" w:rsidRDefault="00040A72" w:rsidP="0062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Montserra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057E" w14:textId="77777777" w:rsidR="00E70B12" w:rsidRDefault="00E70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968" w14:textId="77777777" w:rsidR="003F5951" w:rsidRDefault="00E92335" w:rsidP="003F5951">
    <w:pPr>
      <w:pStyle w:val="Tekstpodstawowy"/>
      <w:spacing w:line="20" w:lineRule="exact"/>
      <w:rPr>
        <w:rFonts w:ascii="Times New Roman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EA5D5" wp14:editId="6B3CB218">
              <wp:simplePos x="0" y="0"/>
              <wp:positionH relativeFrom="column">
                <wp:posOffset>5863590</wp:posOffset>
              </wp:positionH>
              <wp:positionV relativeFrom="paragraph">
                <wp:posOffset>-55245</wp:posOffset>
              </wp:positionV>
              <wp:extent cx="854075" cy="191135"/>
              <wp:effectExtent l="0" t="0" r="317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407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E2F69" w14:textId="77777777" w:rsidR="00932D8F" w:rsidRPr="00932D8F" w:rsidRDefault="00932D8F" w:rsidP="00932D8F">
                          <w:pPr>
                            <w:pStyle w:val="Tekstgwny"/>
                            <w:jc w:val="right"/>
                            <w:rPr>
                              <w:sz w:val="12"/>
                              <w:szCs w:val="16"/>
                            </w:rPr>
                          </w:pPr>
                          <w:r w:rsidRPr="00932D8F">
                            <w:rPr>
                              <w:color w:val="7F7F7F" w:themeColor="background1" w:themeShade="7F"/>
                              <w:spacing w:val="60"/>
                              <w:sz w:val="12"/>
                              <w:szCs w:val="16"/>
                            </w:rPr>
                            <w:t>Strona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t xml:space="preserve"> | 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instrText xml:space="preserve"> PAGE   \* MERGEFORMAT </w:instrTex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Pr="00932D8F">
                            <w:rPr>
                              <w:b/>
                              <w:noProof/>
                              <w:sz w:val="12"/>
                              <w:szCs w:val="16"/>
                            </w:rPr>
                            <w:t>1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EA5D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1.7pt;margin-top:-4.35pt;width:67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" stroked="f">
              <v:path arrowok="t"/>
              <v:textbox>
                <w:txbxContent>
                  <w:p w14:paraId="777E2F69" w14:textId="77777777" w:rsidR="00932D8F" w:rsidRPr="00932D8F" w:rsidRDefault="00932D8F" w:rsidP="00932D8F">
                    <w:pPr>
                      <w:pStyle w:val="Tekstgwny"/>
                      <w:jc w:val="right"/>
                      <w:rPr>
                        <w:sz w:val="12"/>
                        <w:szCs w:val="16"/>
                      </w:rPr>
                    </w:pPr>
                    <w:r w:rsidRPr="00932D8F">
                      <w:rPr>
                        <w:color w:val="7F7F7F" w:themeColor="background1" w:themeShade="7F"/>
                        <w:spacing w:val="60"/>
                        <w:sz w:val="12"/>
                        <w:szCs w:val="16"/>
                      </w:rPr>
                      <w:t>Strona</w:t>
                    </w:r>
                    <w:r w:rsidRPr="00932D8F">
                      <w:rPr>
                        <w:sz w:val="12"/>
                        <w:szCs w:val="16"/>
                      </w:rPr>
                      <w:t xml:space="preserve"> | </w:t>
                    </w:r>
                    <w:r w:rsidRPr="00932D8F">
                      <w:rPr>
                        <w:sz w:val="12"/>
                        <w:szCs w:val="16"/>
                      </w:rPr>
                      <w:fldChar w:fldCharType="begin"/>
                    </w:r>
                    <w:r w:rsidRPr="00932D8F">
                      <w:rPr>
                        <w:sz w:val="12"/>
                        <w:szCs w:val="16"/>
                      </w:rPr>
                      <w:instrText xml:space="preserve"> PAGE   \* MERGEFORMAT </w:instrText>
                    </w:r>
                    <w:r w:rsidRPr="00932D8F">
                      <w:rPr>
                        <w:sz w:val="12"/>
                        <w:szCs w:val="16"/>
                      </w:rPr>
                      <w:fldChar w:fldCharType="separate"/>
                    </w:r>
                    <w:r w:rsidRPr="00932D8F">
                      <w:rPr>
                        <w:b/>
                        <w:noProof/>
                        <w:sz w:val="12"/>
                        <w:szCs w:val="16"/>
                      </w:rPr>
                      <w:t>1</w:t>
                    </w:r>
                    <w:r w:rsidRPr="00932D8F">
                      <w:rPr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1170E1" w14:textId="1D7F4153" w:rsidR="003F5951" w:rsidRDefault="00E70B12" w:rsidP="003F5951">
    <w:pPr>
      <w:pStyle w:val="Tekstpodstawowy"/>
      <w:spacing w:before="95"/>
      <w:ind w:right="113"/>
      <w:jc w:val="both"/>
    </w:pPr>
    <w:r>
      <w:rPr>
        <w:noProof/>
      </w:rPr>
      <w:drawing>
        <wp:inline distT="0" distB="0" distL="0" distR="0" wp14:anchorId="2FA7BC30" wp14:editId="6D0615CD">
          <wp:extent cx="6577012" cy="704177"/>
          <wp:effectExtent l="0" t="0" r="0" b="1270"/>
          <wp:docPr id="141777759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7759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881" cy="71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72B4" w14:textId="77777777" w:rsidR="00E70B12" w:rsidRDefault="00E70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88F37" w14:textId="77777777" w:rsidR="00040A72" w:rsidRDefault="00040A72" w:rsidP="00624190">
      <w:r>
        <w:separator/>
      </w:r>
    </w:p>
  </w:footnote>
  <w:footnote w:type="continuationSeparator" w:id="0">
    <w:p w14:paraId="5226EC26" w14:textId="77777777" w:rsidR="00040A72" w:rsidRDefault="00040A72" w:rsidP="0062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242A" w14:textId="77777777" w:rsidR="00E70B12" w:rsidRDefault="00E70B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6D49" w14:textId="77777777" w:rsidR="00624190" w:rsidRDefault="00624190" w:rsidP="00883A24">
    <w:pPr>
      <w:pStyle w:val="Nagwek"/>
      <w:tabs>
        <w:tab w:val="clear" w:pos="4536"/>
        <w:tab w:val="clear" w:pos="9072"/>
        <w:tab w:val="left" w:pos="983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7CE9FC" wp14:editId="13295280">
          <wp:simplePos x="0" y="0"/>
          <wp:positionH relativeFrom="column">
            <wp:posOffset>5967567</wp:posOffset>
          </wp:positionH>
          <wp:positionV relativeFrom="paragraph">
            <wp:posOffset>-142240</wp:posOffset>
          </wp:positionV>
          <wp:extent cx="806645" cy="546436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45" cy="546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A24">
      <w:tab/>
    </w:r>
  </w:p>
  <w:p w14:paraId="6DE773C4" w14:textId="77777777" w:rsidR="00624190" w:rsidRDefault="00624190">
    <w:pPr>
      <w:pStyle w:val="Nagwek"/>
    </w:pPr>
  </w:p>
  <w:p w14:paraId="635115EB" w14:textId="77777777" w:rsidR="00624190" w:rsidRDefault="00624190">
    <w:pPr>
      <w:pStyle w:val="Nagwek"/>
    </w:pPr>
  </w:p>
  <w:p w14:paraId="38C2D1FB" w14:textId="77777777" w:rsidR="00624190" w:rsidRDefault="00624190">
    <w:pPr>
      <w:pStyle w:val="Nagwek"/>
    </w:pPr>
  </w:p>
  <w:p w14:paraId="24FE5C75" w14:textId="77777777" w:rsidR="00624190" w:rsidRDefault="00624190">
    <w:pPr>
      <w:pStyle w:val="Nagwek"/>
    </w:pPr>
  </w:p>
  <w:p w14:paraId="4D2DB8EA" w14:textId="77777777" w:rsidR="00624190" w:rsidRDefault="00624190">
    <w:pPr>
      <w:pStyle w:val="Nagwek"/>
    </w:pPr>
  </w:p>
  <w:p w14:paraId="6E1BBCA0" w14:textId="77777777" w:rsidR="00624190" w:rsidRDefault="006241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817E" w14:textId="77777777" w:rsidR="00E70B12" w:rsidRDefault="00E70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BEA"/>
    <w:multiLevelType w:val="hybridMultilevel"/>
    <w:tmpl w:val="5A9A21E2"/>
    <w:lvl w:ilvl="0" w:tplc="82AED4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7CED"/>
    <w:multiLevelType w:val="hybridMultilevel"/>
    <w:tmpl w:val="E7483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7DF"/>
    <w:multiLevelType w:val="hybridMultilevel"/>
    <w:tmpl w:val="8AB48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914"/>
    <w:multiLevelType w:val="hybridMultilevel"/>
    <w:tmpl w:val="BC0807BC"/>
    <w:lvl w:ilvl="0" w:tplc="08447A74">
      <w:start w:val="1"/>
      <w:numFmt w:val="decimal"/>
      <w:lvlText w:val="%1)"/>
      <w:lvlJc w:val="left"/>
      <w:pPr>
        <w:ind w:left="1260" w:hanging="360"/>
      </w:pPr>
      <w:rPr>
        <w:rFonts w:ascii="Arial" w:eastAsia="Montserrat" w:hAnsi="Arial" w:cs="Arial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3D062F6"/>
    <w:multiLevelType w:val="hybridMultilevel"/>
    <w:tmpl w:val="DA58FF80"/>
    <w:lvl w:ilvl="0" w:tplc="BB9CF3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6750"/>
    <w:multiLevelType w:val="hybridMultilevel"/>
    <w:tmpl w:val="72583B20"/>
    <w:lvl w:ilvl="0" w:tplc="E3D2ADBC">
      <w:start w:val="1"/>
      <w:numFmt w:val="bullet"/>
      <w:pStyle w:val="Listapunktowana3"/>
      <w:lvlText w:val="-"/>
      <w:lvlJc w:val="left"/>
      <w:pPr>
        <w:ind w:left="720" w:hanging="360"/>
      </w:pPr>
      <w:rPr>
        <w:rFonts w:ascii="Garamond" w:hAnsi="Garamond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0FAD"/>
    <w:multiLevelType w:val="hybridMultilevel"/>
    <w:tmpl w:val="1924DD34"/>
    <w:lvl w:ilvl="0" w:tplc="9D58A4E8">
      <w:start w:val="1"/>
      <w:numFmt w:val="decimal"/>
      <w:lvlText w:val="%1)"/>
      <w:lvlJc w:val="left"/>
      <w:pPr>
        <w:ind w:left="786" w:hanging="360"/>
      </w:pPr>
      <w:rPr>
        <w:rFonts w:ascii="Arial" w:eastAsia="Montserra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A470B8"/>
    <w:multiLevelType w:val="hybridMultilevel"/>
    <w:tmpl w:val="175C6F86"/>
    <w:lvl w:ilvl="0" w:tplc="DB70F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C1D72"/>
    <w:multiLevelType w:val="hybridMultilevel"/>
    <w:tmpl w:val="5254D0BE"/>
    <w:lvl w:ilvl="0" w:tplc="A5C01EA6">
      <w:start w:val="1"/>
      <w:numFmt w:val="decimal"/>
      <w:lvlText w:val="%1)"/>
      <w:lvlJc w:val="left"/>
      <w:pPr>
        <w:ind w:left="720" w:hanging="360"/>
      </w:pPr>
      <w:rPr>
        <w:rFonts w:ascii="Arial" w:eastAsia="Montserra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C411F"/>
    <w:multiLevelType w:val="hybridMultilevel"/>
    <w:tmpl w:val="0E8C95AE"/>
    <w:lvl w:ilvl="0" w:tplc="CA5EED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96C13"/>
    <w:multiLevelType w:val="hybridMultilevel"/>
    <w:tmpl w:val="E95A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39170">
    <w:abstractNumId w:val="1"/>
  </w:num>
  <w:num w:numId="2" w16cid:durableId="1458182975">
    <w:abstractNumId w:val="7"/>
  </w:num>
  <w:num w:numId="3" w16cid:durableId="405300660">
    <w:abstractNumId w:val="0"/>
  </w:num>
  <w:num w:numId="4" w16cid:durableId="2036812092">
    <w:abstractNumId w:val="3"/>
  </w:num>
  <w:num w:numId="5" w16cid:durableId="1130978632">
    <w:abstractNumId w:val="9"/>
  </w:num>
  <w:num w:numId="6" w16cid:durableId="1305085514">
    <w:abstractNumId w:val="5"/>
  </w:num>
  <w:num w:numId="7" w16cid:durableId="1720518426">
    <w:abstractNumId w:val="6"/>
  </w:num>
  <w:num w:numId="8" w16cid:durableId="862136252">
    <w:abstractNumId w:val="8"/>
  </w:num>
  <w:num w:numId="9" w16cid:durableId="2144734724">
    <w:abstractNumId w:val="4"/>
  </w:num>
  <w:num w:numId="10" w16cid:durableId="1540513520">
    <w:abstractNumId w:val="2"/>
  </w:num>
  <w:num w:numId="11" w16cid:durableId="1940480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32"/>
    <w:rsid w:val="00020D5E"/>
    <w:rsid w:val="00040A72"/>
    <w:rsid w:val="00052D5C"/>
    <w:rsid w:val="000734D3"/>
    <w:rsid w:val="00087EE6"/>
    <w:rsid w:val="000904A4"/>
    <w:rsid w:val="000A3ED2"/>
    <w:rsid w:val="000F7240"/>
    <w:rsid w:val="0011609A"/>
    <w:rsid w:val="00116EAA"/>
    <w:rsid w:val="001224F9"/>
    <w:rsid w:val="00136F76"/>
    <w:rsid w:val="00194077"/>
    <w:rsid w:val="001A2CE3"/>
    <w:rsid w:val="001A2E64"/>
    <w:rsid w:val="001B7D5E"/>
    <w:rsid w:val="001B7E02"/>
    <w:rsid w:val="001C227C"/>
    <w:rsid w:val="001E6D6D"/>
    <w:rsid w:val="002332C6"/>
    <w:rsid w:val="0024790A"/>
    <w:rsid w:val="002559FE"/>
    <w:rsid w:val="002659E1"/>
    <w:rsid w:val="0029158C"/>
    <w:rsid w:val="002A6638"/>
    <w:rsid w:val="002B0ECF"/>
    <w:rsid w:val="002D427C"/>
    <w:rsid w:val="00315068"/>
    <w:rsid w:val="003855A4"/>
    <w:rsid w:val="0039592B"/>
    <w:rsid w:val="003C2D33"/>
    <w:rsid w:val="003C6561"/>
    <w:rsid w:val="003E7932"/>
    <w:rsid w:val="003F46FC"/>
    <w:rsid w:val="003F5951"/>
    <w:rsid w:val="00413B0F"/>
    <w:rsid w:val="00427CE0"/>
    <w:rsid w:val="004878F9"/>
    <w:rsid w:val="004A59B2"/>
    <w:rsid w:val="004C19EB"/>
    <w:rsid w:val="004D610C"/>
    <w:rsid w:val="004E2FD2"/>
    <w:rsid w:val="004F2DF1"/>
    <w:rsid w:val="00506822"/>
    <w:rsid w:val="00523BA2"/>
    <w:rsid w:val="0053461B"/>
    <w:rsid w:val="005472C1"/>
    <w:rsid w:val="00573A70"/>
    <w:rsid w:val="005763DD"/>
    <w:rsid w:val="00577000"/>
    <w:rsid w:val="005B6D6B"/>
    <w:rsid w:val="0062332D"/>
    <w:rsid w:val="00624190"/>
    <w:rsid w:val="00624531"/>
    <w:rsid w:val="00645AA9"/>
    <w:rsid w:val="00667020"/>
    <w:rsid w:val="00671D00"/>
    <w:rsid w:val="00693CAC"/>
    <w:rsid w:val="00697540"/>
    <w:rsid w:val="006B2DF7"/>
    <w:rsid w:val="006F0021"/>
    <w:rsid w:val="006F3E1B"/>
    <w:rsid w:val="006F428F"/>
    <w:rsid w:val="007047DC"/>
    <w:rsid w:val="00706539"/>
    <w:rsid w:val="0074066C"/>
    <w:rsid w:val="00742A82"/>
    <w:rsid w:val="007671ED"/>
    <w:rsid w:val="007B32D5"/>
    <w:rsid w:val="007F206B"/>
    <w:rsid w:val="0081314F"/>
    <w:rsid w:val="00836A2D"/>
    <w:rsid w:val="00852EBA"/>
    <w:rsid w:val="00883A24"/>
    <w:rsid w:val="00883FC0"/>
    <w:rsid w:val="008C0697"/>
    <w:rsid w:val="008E2F99"/>
    <w:rsid w:val="008F2E83"/>
    <w:rsid w:val="008F4181"/>
    <w:rsid w:val="008F470F"/>
    <w:rsid w:val="00912FD7"/>
    <w:rsid w:val="00932D8F"/>
    <w:rsid w:val="0094380D"/>
    <w:rsid w:val="00980664"/>
    <w:rsid w:val="00981516"/>
    <w:rsid w:val="00982226"/>
    <w:rsid w:val="00996578"/>
    <w:rsid w:val="009A5934"/>
    <w:rsid w:val="009C7A39"/>
    <w:rsid w:val="009E7BEE"/>
    <w:rsid w:val="009F5565"/>
    <w:rsid w:val="009F6A3D"/>
    <w:rsid w:val="00A02178"/>
    <w:rsid w:val="00A147B6"/>
    <w:rsid w:val="00A47E93"/>
    <w:rsid w:val="00AA5316"/>
    <w:rsid w:val="00AB69C8"/>
    <w:rsid w:val="00AC5834"/>
    <w:rsid w:val="00AD4699"/>
    <w:rsid w:val="00AF5A01"/>
    <w:rsid w:val="00B1417A"/>
    <w:rsid w:val="00B20761"/>
    <w:rsid w:val="00B43715"/>
    <w:rsid w:val="00B82409"/>
    <w:rsid w:val="00BA08A5"/>
    <w:rsid w:val="00BA5EC7"/>
    <w:rsid w:val="00BC08D5"/>
    <w:rsid w:val="00BE0E68"/>
    <w:rsid w:val="00BE3FD7"/>
    <w:rsid w:val="00BE723F"/>
    <w:rsid w:val="00BF158F"/>
    <w:rsid w:val="00C01171"/>
    <w:rsid w:val="00C3110A"/>
    <w:rsid w:val="00C76112"/>
    <w:rsid w:val="00C9596B"/>
    <w:rsid w:val="00CB574C"/>
    <w:rsid w:val="00CC585F"/>
    <w:rsid w:val="00CE4472"/>
    <w:rsid w:val="00D13720"/>
    <w:rsid w:val="00D14158"/>
    <w:rsid w:val="00D42ECE"/>
    <w:rsid w:val="00D85AF8"/>
    <w:rsid w:val="00DD71E5"/>
    <w:rsid w:val="00E02FAA"/>
    <w:rsid w:val="00E1348C"/>
    <w:rsid w:val="00E160AA"/>
    <w:rsid w:val="00E160DE"/>
    <w:rsid w:val="00E31703"/>
    <w:rsid w:val="00E44079"/>
    <w:rsid w:val="00E45D76"/>
    <w:rsid w:val="00E70B12"/>
    <w:rsid w:val="00E842F8"/>
    <w:rsid w:val="00E8669D"/>
    <w:rsid w:val="00E92335"/>
    <w:rsid w:val="00EA2274"/>
    <w:rsid w:val="00EE16F4"/>
    <w:rsid w:val="00F02850"/>
    <w:rsid w:val="00F20C57"/>
    <w:rsid w:val="00F42DE8"/>
    <w:rsid w:val="00F4683D"/>
    <w:rsid w:val="00F8640B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4EE08"/>
  <w15:docId w15:val="{3BED02AA-0B0F-4056-A638-F484A236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rsid w:val="003E7932"/>
    <w:rPr>
      <w:rFonts w:ascii="Montserrat" w:eastAsia="Montserrat" w:hAnsi="Montserrat" w:cs="Montserra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rsid w:val="003E7932"/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3E7932"/>
  </w:style>
  <w:style w:type="paragraph" w:customStyle="1" w:styleId="TableParagraph">
    <w:name w:val="Table Paragraph"/>
    <w:basedOn w:val="Normalny"/>
    <w:uiPriority w:val="1"/>
    <w:rsid w:val="003E7932"/>
  </w:style>
  <w:style w:type="paragraph" w:styleId="Tekstdymka">
    <w:name w:val="Balloon Text"/>
    <w:basedOn w:val="Normalny"/>
    <w:link w:val="TekstdymkaZnak"/>
    <w:uiPriority w:val="99"/>
    <w:semiHidden/>
    <w:unhideWhenUsed/>
    <w:rsid w:val="006241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190"/>
    <w:rPr>
      <w:rFonts w:ascii="Tahoma" w:eastAsia="Montserra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190"/>
    <w:rPr>
      <w:rFonts w:ascii="Montserrat" w:eastAsia="Montserrat" w:hAnsi="Montserrat" w:cs="Montserra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190"/>
    <w:rPr>
      <w:rFonts w:ascii="Montserrat" w:eastAsia="Montserrat" w:hAnsi="Montserrat" w:cs="Montserrat"/>
      <w:lang w:val="pl-PL"/>
    </w:rPr>
  </w:style>
  <w:style w:type="paragraph" w:customStyle="1" w:styleId="DATA">
    <w:name w:val="DATA"/>
    <w:basedOn w:val="Normalny"/>
    <w:link w:val="DATAZnak"/>
    <w:uiPriority w:val="1"/>
    <w:qFormat/>
    <w:rsid w:val="00996578"/>
    <w:rPr>
      <w:rFonts w:ascii="Montserrat Medium" w:eastAsiaTheme="minorHAnsi" w:hAnsi="Montserrat Medium" w:cs="Montserrat-Medium"/>
      <w:color w:val="575756"/>
      <w:sz w:val="18"/>
      <w:szCs w:val="18"/>
    </w:rPr>
  </w:style>
  <w:style w:type="paragraph" w:customStyle="1" w:styleId="Nagweknr1">
    <w:name w:val="Nagłówek nr 1"/>
    <w:basedOn w:val="Normalny"/>
    <w:link w:val="Nagweknr1Znak"/>
    <w:uiPriority w:val="1"/>
    <w:qFormat/>
    <w:rsid w:val="00996578"/>
    <w:rPr>
      <w:b/>
      <w:color w:val="005F42"/>
      <w:sz w:val="32"/>
      <w:szCs w:val="32"/>
    </w:rPr>
  </w:style>
  <w:style w:type="character" w:customStyle="1" w:styleId="DATAZnak">
    <w:name w:val="DATA Znak"/>
    <w:basedOn w:val="Domylnaczcionkaakapitu"/>
    <w:link w:val="DATA"/>
    <w:uiPriority w:val="1"/>
    <w:rsid w:val="00996578"/>
    <w:rPr>
      <w:rFonts w:ascii="Montserrat Medium" w:hAnsi="Montserrat Medium" w:cs="Montserrat-Medium"/>
      <w:color w:val="575756"/>
      <w:sz w:val="18"/>
      <w:szCs w:val="18"/>
      <w:lang w:val="pl-PL"/>
    </w:rPr>
  </w:style>
  <w:style w:type="paragraph" w:customStyle="1" w:styleId="Nagweknr2">
    <w:name w:val="Nagłówek nr 2"/>
    <w:basedOn w:val="Normalny"/>
    <w:link w:val="Nagweknr2Znak"/>
    <w:uiPriority w:val="1"/>
    <w:qFormat/>
    <w:rsid w:val="00996578"/>
    <w:rPr>
      <w:color w:val="005F42"/>
      <w:sz w:val="32"/>
      <w:szCs w:val="32"/>
    </w:rPr>
  </w:style>
  <w:style w:type="character" w:customStyle="1" w:styleId="Nagweknr1Znak">
    <w:name w:val="Nagłówek nr 1 Znak"/>
    <w:basedOn w:val="Domylnaczcionkaakapitu"/>
    <w:link w:val="Nagweknr1"/>
    <w:uiPriority w:val="1"/>
    <w:rsid w:val="00996578"/>
    <w:rPr>
      <w:rFonts w:ascii="Montserrat" w:eastAsia="Montserrat" w:hAnsi="Montserrat" w:cs="Montserrat"/>
      <w:b/>
      <w:color w:val="005F42"/>
      <w:sz w:val="32"/>
      <w:szCs w:val="32"/>
      <w:lang w:val="pl-PL"/>
    </w:rPr>
  </w:style>
  <w:style w:type="paragraph" w:customStyle="1" w:styleId="Tekstgwny">
    <w:name w:val="Tekst główny"/>
    <w:basedOn w:val="Normalny"/>
    <w:link w:val="TekstgwnyZnak"/>
    <w:uiPriority w:val="1"/>
    <w:qFormat/>
    <w:rsid w:val="00996578"/>
    <w:rPr>
      <w:color w:val="575756"/>
      <w:sz w:val="18"/>
      <w:szCs w:val="18"/>
    </w:rPr>
  </w:style>
  <w:style w:type="character" w:customStyle="1" w:styleId="Nagweknr2Znak">
    <w:name w:val="Nagłówek nr 2 Znak"/>
    <w:basedOn w:val="Domylnaczcionkaakapitu"/>
    <w:link w:val="Nagweknr2"/>
    <w:uiPriority w:val="1"/>
    <w:rsid w:val="00996578"/>
    <w:rPr>
      <w:rFonts w:ascii="Montserrat" w:eastAsia="Montserrat" w:hAnsi="Montserrat" w:cs="Montserrat"/>
      <w:color w:val="005F42"/>
      <w:sz w:val="32"/>
      <w:szCs w:val="32"/>
      <w:lang w:val="pl-PL"/>
    </w:rPr>
  </w:style>
  <w:style w:type="paragraph" w:customStyle="1" w:styleId="rdtytu">
    <w:name w:val="Śródtytuł"/>
    <w:basedOn w:val="Normalny"/>
    <w:link w:val="rdtytuZnak"/>
    <w:uiPriority w:val="1"/>
    <w:qFormat/>
    <w:rsid w:val="00996578"/>
    <w:rPr>
      <w:b/>
      <w:color w:val="575756"/>
      <w:sz w:val="18"/>
      <w:szCs w:val="18"/>
    </w:rPr>
  </w:style>
  <w:style w:type="character" w:customStyle="1" w:styleId="TekstgwnyZnak">
    <w:name w:val="Tekst główny Znak"/>
    <w:basedOn w:val="Domylnaczcionkaakapitu"/>
    <w:link w:val="Tekstgwny"/>
    <w:uiPriority w:val="1"/>
    <w:rsid w:val="00996578"/>
    <w:rPr>
      <w:rFonts w:ascii="Montserrat" w:eastAsia="Montserrat" w:hAnsi="Montserrat" w:cs="Montserrat"/>
      <w:color w:val="575756"/>
      <w:sz w:val="18"/>
      <w:szCs w:val="18"/>
      <w:lang w:val="pl-PL"/>
    </w:rPr>
  </w:style>
  <w:style w:type="character" w:customStyle="1" w:styleId="rdtytuZnak">
    <w:name w:val="Śródtytuł Znak"/>
    <w:basedOn w:val="Domylnaczcionkaakapitu"/>
    <w:link w:val="rdtytu"/>
    <w:uiPriority w:val="1"/>
    <w:rsid w:val="00996578"/>
    <w:rPr>
      <w:rFonts w:ascii="Montserrat" w:eastAsia="Montserrat" w:hAnsi="Montserrat" w:cs="Montserrat"/>
      <w:b/>
      <w:color w:val="575756"/>
      <w:sz w:val="18"/>
      <w:szCs w:val="18"/>
      <w:lang w:val="pl-PL"/>
    </w:rPr>
  </w:style>
  <w:style w:type="paragraph" w:styleId="Listapunktowana3">
    <w:name w:val="List Bullet 3"/>
    <w:basedOn w:val="Normalny"/>
    <w:rsid w:val="008F4181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2B6989ECC684785A303C6FC769085" ma:contentTypeVersion="1" ma:contentTypeDescription="Utwórz nowy dokument." ma:contentTypeScope="" ma:versionID="10342bde87bfcfec38fde96cb9edbd51">
  <xsd:schema xmlns:xsd="http://www.w3.org/2001/XMLSchema" xmlns:p="http://schemas.microsoft.com/office/2006/metadata/properties" targetNamespace="http://schemas.microsoft.com/office/2006/metadata/properties" ma:root="true" ma:fieldsID="75b4d24c33284de1de9c059c112c59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CDD5-ADB6-4CB9-AE5C-F72ECB9F7E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96E37E-DDDF-4C83-A233-2C63251CF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8E7D8F-0B1D-4E96-BB87-7D43EE749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F743C-3BBC-4780-9D82-F9E40B18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</dc:creator>
  <cp:lastModifiedBy>Klentak Roman</cp:lastModifiedBy>
  <cp:revision>12</cp:revision>
  <cp:lastPrinted>2024-01-10T11:22:00Z</cp:lastPrinted>
  <dcterms:created xsi:type="dcterms:W3CDTF">2024-08-06T07:21:00Z</dcterms:created>
  <dcterms:modified xsi:type="dcterms:W3CDTF">2024-08-26T10:02:00Z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0x010100B642B6989ECC684785A303C6FC769085</vt:lpwstr>
  </property>
  <property fmtid="{D5CDD505-2E9C-101B-9397-08002B2CF9AE}" pid="6" name="MSIP_Label_da0d7ebb-8d5f-4d70-ab59-1b8ea1828e86_Enabled">
    <vt:lpwstr>true</vt:lpwstr>
  </property>
  <property fmtid="{D5CDD505-2E9C-101B-9397-08002B2CF9AE}" pid="7" name="MSIP_Label_da0d7ebb-8d5f-4d70-ab59-1b8ea1828e86_SetDate">
    <vt:lpwstr>2023-10-05T07:13:24Z</vt:lpwstr>
  </property>
  <property fmtid="{D5CDD505-2E9C-101B-9397-08002B2CF9AE}" pid="8" name="MSIP_Label_da0d7ebb-8d5f-4d70-ab59-1b8ea1828e86_Method">
    <vt:lpwstr>Privileged</vt:lpwstr>
  </property>
  <property fmtid="{D5CDD505-2E9C-101B-9397-08002B2CF9AE}" pid="9" name="MSIP_Label_da0d7ebb-8d5f-4d70-ab59-1b8ea1828e86_Name">
    <vt:lpwstr>da0d7ebb-8d5f-4d70-ab59-1b8ea1828e86</vt:lpwstr>
  </property>
  <property fmtid="{D5CDD505-2E9C-101B-9397-08002B2CF9AE}" pid="10" name="MSIP_Label_da0d7ebb-8d5f-4d70-ab59-1b8ea1828e86_SiteId">
    <vt:lpwstr>f496e8ac-cda8-4c70-b009-f8e1cc805d20</vt:lpwstr>
  </property>
  <property fmtid="{D5CDD505-2E9C-101B-9397-08002B2CF9AE}" pid="11" name="MSIP_Label_da0d7ebb-8d5f-4d70-ab59-1b8ea1828e86_ActionId">
    <vt:lpwstr>ae759780-2ec5-4be7-a277-c359dac407a7</vt:lpwstr>
  </property>
  <property fmtid="{D5CDD505-2E9C-101B-9397-08002B2CF9AE}" pid="12" name="MSIP_Label_da0d7ebb-8d5f-4d70-ab59-1b8ea1828e86_ContentBits">
    <vt:lpwstr>0</vt:lpwstr>
  </property>
</Properties>
</file>